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Carlyle Credit Income Fund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Preferred Shares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09/03/2026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Eagle Point Credit Management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157,600.00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157,600.00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157,600.00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12.91 %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Carlyle Credit Income Fund</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One Vanderbilt Avenue, Suite 3400, New York, NY 10017</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Eagle Point Credit Management LLC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600 Steamboat Road, Suite 202 Greenwich, CT 06830</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Organized in the State of Delaware</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Preferred Shares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157,600</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12.91%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157,600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157,600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646" w:type="dxa"/>
        <w:jc w:val="left"/>
        <w:tblInd w:w="0" w:type="dxa"/>
        <w:tblLayout w:type="fixed"/>
        <w:tblCellMar>
          <w:top w:w="28" w:type="dxa"/>
          <w:left w:w="28" w:type="dxa"/>
          <w:bottom w:w="28" w:type="dxa"/>
          <w:right w:w="28" w:type="dxa"/>
        </w:tblCellMar>
      </w:tblPr>
      <w:tblGrid>
        <w:gridCol w:w="3823"/>
        <w:gridCol w:w="3823"/>
      </w:tblGrid>
      <w:tr>
        <w:trPr/>
        <w:tc>
          <w:tcPr>
            <w:tcW w:w="3823" w:type="dxa"/>
            <w:tcBorders/>
            <w:vAlign w:val="center"/>
          </w:tcPr>
          <w:p>
            <w:pPr>
              <w:pStyle w:val="TableContents"/>
              <w:bidi w:val="0"/>
              <w:spacing w:before="0" w:after="0"/>
              <w:jc w:val="left"/>
              <w:rPr/>
            </w:pPr>
            <w:r>
              <w:rPr/>
              <w:t> </w:t>
            </w:r>
          </w:p>
          <w:tbl>
            <w:tblPr>
              <w:tblW w:w="3721" w:type="dxa"/>
              <w:jc w:val="left"/>
              <w:tblInd w:w="0" w:type="dxa"/>
              <w:tblLayout w:type="fixed"/>
              <w:tblCellMar>
                <w:top w:w="28" w:type="dxa"/>
                <w:left w:w="28" w:type="dxa"/>
                <w:bottom w:w="28" w:type="dxa"/>
                <w:right w:w="28" w:type="dxa"/>
              </w:tblCellMar>
            </w:tblPr>
            <w:tblGrid>
              <w:gridCol w:w="3721"/>
            </w:tblGrid>
            <w:tr>
              <w:trPr/>
              <w:tc>
                <w:tcPr>
                  <w:tcW w:w="3721" w:type="dxa"/>
                  <w:tcBorders/>
                  <w:vAlign w:val="center"/>
                </w:tcPr>
                <w:p>
                  <w:pPr>
                    <w:pStyle w:val="TableContents"/>
                    <w:bidi w:val="0"/>
                    <w:spacing w:before="0" w:after="0"/>
                    <w:jc w:val="left"/>
                    <w:rPr/>
                  </w:pPr>
                  <w:r>
                    <w:rPr/>
                    <w:t>Eagle Point Credit Management LLC</w:t>
                  </w:r>
                </w:p>
              </w:tc>
            </w:tr>
          </w:tbl>
          <w:p>
            <w:pPr>
              <w:pStyle w:val="TableContents"/>
              <w:bidi w:val="0"/>
              <w:spacing w:before="0" w:after="283"/>
              <w:jc w:val="left"/>
              <w:rPr/>
            </w:pPr>
            <w:r>
              <w:rPr/>
            </w:r>
          </w:p>
        </w:tc>
        <w:tc>
          <w:tcPr>
            <w:tcW w:w="38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5"/>
        <w:gridCol w:w="4260"/>
      </w:tblGrid>
      <w:tr>
        <w:trPr/>
        <w:tc>
          <w:tcPr>
            <w:tcW w:w="59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Courtney Fandrick</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Chief Compliance Officer</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09/08/2026</w:t>
                  </w:r>
                </w:p>
              </w:tc>
            </w:tr>
          </w:tbl>
          <w:p>
            <w:pPr>
              <w:pStyle w:val="TableContents"/>
              <w:bidi w:val="0"/>
              <w:spacing w:before="0" w:after="283"/>
              <w:jc w:val="left"/>
              <w:rPr/>
            </w:pPr>
            <w:r>
              <w:rPr/>
            </w:r>
          </w:p>
        </w:tc>
        <w:tc>
          <w:tcPr>
            <w:tcW w:w="42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721</Words>
  <Characters>3730</Characters>
  <CharactersWithSpaces>4442</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