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Washington, DC 20549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Section 13 OR 15(d) of the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Securities Exchange Act of 1934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 xml:space="preserve">Date of Report (Date of earliest event reported):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October 16, 2026</w:t>
      </w:r>
      <w:r>
        <w:rPr>
          <w:caps w:val="false"/>
          <w:smallCaps w:val="false"/>
          <w:sz w:val="24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80" w:before="0" w:after="0"/>
        <w:jc w:val="left"/>
        <w:rPr>
          <w:sz w:val="4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Carlyle Credit Income Fund</w:t>
      </w:r>
      <w:r>
        <w:rPr>
          <w:caps w:val="false"/>
          <w:smallCaps w:val="false"/>
          <w:sz w:val="48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46"/>
        <w:gridCol w:w="1066"/>
        <w:gridCol w:w="109"/>
        <w:gridCol w:w="146"/>
        <w:gridCol w:w="1486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Delaware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811-22554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45-2904236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 Incorporation)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(Commission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 Number)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335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One Vanderbilt Avenue, Suite 3400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</w:rPr>
              <w:t xml:space="preserve">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10017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(Address of Principal Executive Offices, 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212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)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813-4900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(Former Name or Former Address, if Changed Since Last Report)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registrant under any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the following provisions (see General Instruction A.2. below):</w:t>
      </w:r>
    </w:p>
    <w:tbl>
      <w:tblPr>
        <w:tblW w:w="84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6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96"/>
        <w:gridCol w:w="1456"/>
        <w:gridCol w:w="3316"/>
      </w:tblGrid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 Symbol(s)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CCIF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CCID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of 1933 (§230.405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this chapter) or Rule 12b-2 of the Securities Exchange Act of 1934 (§240.12b-2 of this chapter).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complying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with any new or revised financial accounting standards provided pursuant to Section 13(a) of the Exchange Act. </w:t>
      </w:r>
      <w:r>
        <w:rPr>
          <w:caps w:val="false"/>
          <w:smallCaps w:val="false"/>
        </w:rPr>
        <w:t>☐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 8.01 – Other Events.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Management’s unaudited net asset value per common share as of September 30, 2026 was $3.05.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signed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its behalf by the undersigned hereunto duly authorized.</w:t>
      </w:r>
    </w:p>
    <w:tbl>
      <w:tblPr>
        <w:tblW w:w="59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6"/>
        <w:gridCol w:w="146"/>
        <w:gridCol w:w="406"/>
        <w:gridCol w:w="146"/>
        <w:gridCol w:w="3166"/>
      </w:tblGrid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CARLYLE CREDIT INCOME FUND</w:t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(Registrant)</w:t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Dated: October 16, 2026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Nelson Joseph</w:t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 Nelson Joseph</w:t>
            </w:r>
          </w:p>
        </w:tc>
      </w:tr>
      <w:tr>
        <w:trPr/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 Principal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383</Words>
  <Characters>2118</Characters>
  <CharactersWithSpaces>2472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