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PROXY STATEMENT PURSUANT TO SECTION 14(a)</w:t>
      </w:r>
    </w:p>
    <w:p>
      <w:pPr>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 ]</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rPr>
          <w:sz w:val="20"/>
          <w:szCs w:val="20"/>
          <w:color w:val="auto"/>
        </w:rPr>
      </w:pPr>
      <w:r>
        <w:rPr>
          <w:rFonts w:ascii="Courier New" w:cs="Courier New" w:eastAsia="Courier New" w:hAnsi="Courier New"/>
          <w:sz w:val="18"/>
          <w:szCs w:val="18"/>
          <w:color w:val="auto"/>
        </w:rPr>
        <w:t>Bulldog Investors, LLC</w:t>
      </w:r>
    </w:p>
    <w:p>
      <w:pPr>
        <w:spacing w:after="0" w:line="237" w:lineRule="auto"/>
        <w:rPr>
          <w:sz w:val="20"/>
          <w:szCs w:val="20"/>
          <w:color w:val="auto"/>
        </w:rPr>
      </w:pPr>
      <w:r>
        <w:rPr>
          <w:rFonts w:ascii="Courier New" w:cs="Courier New" w:eastAsia="Courier New" w:hAnsi="Courier New"/>
          <w:sz w:val="18"/>
          <w:szCs w:val="18"/>
          <w:color w:val="auto"/>
        </w:rPr>
        <w:t>Attn: Phillip Goldstein</w:t>
      </w:r>
    </w:p>
    <w:p>
      <w:pPr>
        <w:spacing w:after="0" w:line="238" w:lineRule="auto"/>
        <w:rPr>
          <w:sz w:val="20"/>
          <w:szCs w:val="20"/>
          <w:color w:val="auto"/>
        </w:rPr>
      </w:pPr>
      <w:r>
        <w:rPr>
          <w:rFonts w:ascii="Courier New" w:cs="Courier New" w:eastAsia="Courier New" w:hAnsi="Courier New"/>
          <w:sz w:val="18"/>
          <w:szCs w:val="18"/>
          <w:color w:val="auto"/>
        </w:rPr>
        <w:t>250 Pehle Avenue, Suite 708</w:t>
      </w:r>
    </w:p>
    <w:p>
      <w:pPr>
        <w:spacing w:after="0"/>
        <w:rPr>
          <w:sz w:val="20"/>
          <w:szCs w:val="20"/>
          <w:color w:val="auto"/>
        </w:rPr>
      </w:pPr>
      <w:r>
        <w:rPr>
          <w:rFonts w:ascii="Courier New" w:cs="Courier New" w:eastAsia="Courier New" w:hAnsi="Courier New"/>
          <w:sz w:val="18"/>
          <w:szCs w:val="18"/>
          <w:color w:val="auto"/>
        </w:rPr>
        <w:t>Saddle Brook, NJ 07663</w:t>
      </w:r>
    </w:p>
    <w:p>
      <w:pPr>
        <w:spacing w:after="0" w:line="237" w:lineRule="auto"/>
        <w:rPr>
          <w:sz w:val="20"/>
          <w:szCs w:val="20"/>
          <w:color w:val="auto"/>
        </w:rPr>
      </w:pPr>
      <w:r>
        <w:rPr>
          <w:rFonts w:ascii="Courier New" w:cs="Courier New" w:eastAsia="Courier New" w:hAnsi="Courier New"/>
          <w:sz w:val="18"/>
          <w:szCs w:val="18"/>
          <w:color w:val="auto"/>
        </w:rPr>
        <w:t>Phone: 201 881-7100</w:t>
      </w:r>
    </w:p>
    <w:p>
      <w:pPr>
        <w:spacing w:after="0"/>
        <w:rPr>
          <w:sz w:val="20"/>
          <w:szCs w:val="20"/>
          <w:color w:val="auto"/>
        </w:rPr>
      </w:pPr>
      <w:r>
        <w:rPr>
          <w:rFonts w:ascii="Courier New" w:cs="Courier New" w:eastAsia="Courier New" w:hAnsi="Courier New"/>
          <w:sz w:val="18"/>
          <w:szCs w:val="18"/>
          <w:color w:val="auto"/>
        </w:rPr>
        <w:t>Fax: 201 556-0097</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38" w:lineRule="auto"/>
        <w:rPr>
          <w:sz w:val="20"/>
          <w:szCs w:val="20"/>
          <w:color w:val="auto"/>
        </w:rPr>
      </w:pPr>
      <w:r>
        <w:rPr>
          <w:rFonts w:ascii="Courier New" w:cs="Courier New" w:eastAsia="Courier New" w:hAnsi="Courier New"/>
          <w:sz w:val="18"/>
          <w:szCs w:val="18"/>
          <w:color w:val="auto"/>
        </w:rPr>
        <w:t>Preliminary Proxy Statement</w:t>
      </w:r>
    </w:p>
    <w:p>
      <w:pPr>
        <w:spacing w:after="0"/>
        <w:rPr>
          <w:sz w:val="20"/>
          <w:szCs w:val="20"/>
          <w:color w:val="auto"/>
        </w:rPr>
      </w:pPr>
      <w:r>
        <w:rPr>
          <w:rFonts w:ascii="Courier New" w:cs="Courier New" w:eastAsia="Courier New" w:hAnsi="Courier New"/>
          <w:sz w:val="18"/>
          <w:szCs w:val="18"/>
          <w:color w:val="auto"/>
        </w:rPr>
        <w:t>Confidential, for Use of the Commission Only (as permitted by</w:t>
      </w:r>
    </w:p>
    <w:p>
      <w:pPr>
        <w:spacing w:after="0" w:line="237" w:lineRule="auto"/>
        <w:rPr>
          <w:sz w:val="20"/>
          <w:szCs w:val="20"/>
          <w:color w:val="auto"/>
        </w:rPr>
      </w:pPr>
      <w:r>
        <w:rPr>
          <w:rFonts w:ascii="Courier New" w:cs="Courier New" w:eastAsia="Courier New" w:hAnsi="Courier New"/>
          <w:sz w:val="18"/>
          <w:szCs w:val="18"/>
          <w:color w:val="auto"/>
        </w:rPr>
        <w:t>Rule 14a-6(e)(2))</w:t>
      </w:r>
    </w:p>
    <w:p>
      <w:pPr>
        <w:spacing w:after="0" w:line="238" w:lineRule="auto"/>
        <w:rPr>
          <w:sz w:val="20"/>
          <w:szCs w:val="20"/>
          <w:color w:val="auto"/>
        </w:rPr>
      </w:pPr>
      <w:r>
        <w:rPr>
          <w:rFonts w:ascii="Courier New" w:cs="Courier New" w:eastAsia="Courier New" w:hAnsi="Courier New"/>
          <w:sz w:val="18"/>
          <w:szCs w:val="18"/>
          <w:color w:val="auto"/>
        </w:rPr>
        <w:t>Definitive Proxy Statement</w:t>
      </w:r>
    </w:p>
    <w:p>
      <w:pPr>
        <w:spacing w:after="0"/>
        <w:rPr>
          <w:sz w:val="20"/>
          <w:szCs w:val="20"/>
          <w:color w:val="auto"/>
        </w:rPr>
      </w:pPr>
      <w:r>
        <w:rPr>
          <w:rFonts w:ascii="Courier New" w:cs="Courier New" w:eastAsia="Courier New" w:hAnsi="Courier New"/>
          <w:sz w:val="18"/>
          <w:szCs w:val="18"/>
          <w:color w:val="auto"/>
        </w:rPr>
        <w:t>Definitive Additional Materials [x]</w:t>
      </w:r>
    </w:p>
    <w:p>
      <w:pPr>
        <w:spacing w:after="0" w:line="4"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Soliciting Material Pursuant to ss.240.14a-11(c) or ss.240.14a-12</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Vertical Capital Income Fund</w:t>
      </w:r>
    </w:p>
    <w:p>
      <w:pPr>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Bulldog Investors, LLC</w:t>
      </w:r>
    </w:p>
    <w:p>
      <w:pPr>
        <w:spacing w:after="0" w:line="4"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 fee required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Fee computed on table below per Exchange Act Rules 14a-6(i)(4)</w:t>
      </w:r>
    </w:p>
    <w:p>
      <w:pPr>
        <w:spacing w:after="0" w:line="238" w:lineRule="auto"/>
        <w:rPr>
          <w:sz w:val="20"/>
          <w:szCs w:val="20"/>
          <w:color w:val="auto"/>
        </w:rPr>
      </w:pPr>
      <w:r>
        <w:rPr>
          <w:rFonts w:ascii="Courier New" w:cs="Courier New" w:eastAsia="Courier New" w:hAnsi="Courier New"/>
          <w:sz w:val="18"/>
          <w:szCs w:val="18"/>
          <w:color w:val="auto"/>
        </w:rPr>
        <w:t>and 0-11.</w:t>
      </w:r>
    </w:p>
    <w:p>
      <w:pPr>
        <w:spacing w:after="0" w:line="207" w:lineRule="exact"/>
        <w:rPr>
          <w:sz w:val="24"/>
          <w:szCs w:val="24"/>
          <w:color w:val="auto"/>
        </w:rPr>
      </w:pPr>
    </w:p>
    <w:p>
      <w:pPr>
        <w:ind w:right="409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8" w:lineRule="exact"/>
        <w:rPr>
          <w:rFonts w:ascii="Courier New" w:cs="Courier New" w:eastAsia="Courier New" w:hAnsi="Courier New"/>
          <w:sz w:val="18"/>
          <w:szCs w:val="18"/>
          <w:color w:val="auto"/>
        </w:rPr>
      </w:pPr>
    </w:p>
    <w:p>
      <w:pPr>
        <w:ind w:right="441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8" w:lineRule="exact"/>
        <w:rPr>
          <w:rFonts w:ascii="Courier New" w:cs="Courier New" w:eastAsia="Courier New" w:hAnsi="Courier New"/>
          <w:sz w:val="18"/>
          <w:szCs w:val="18"/>
          <w:color w:val="auto"/>
        </w:rPr>
      </w:pPr>
    </w:p>
    <w:p>
      <w:pPr>
        <w:ind w:right="377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Fee paid previously with preliminary materials [].</w:t>
      </w:r>
    </w:p>
    <w:p>
      <w:pPr>
        <w:spacing w:after="0" w:line="207" w:lineRule="exact"/>
        <w:rPr>
          <w:sz w:val="24"/>
          <w:szCs w:val="24"/>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Check box if any part of the fee is offset as provided by Exchange Act Rule 0-11 (a) (2) and identify the filing for which the offsetting fee was paid previously. Identify the previous filing by registration statement number, or the Form or Schedule and the date of its filing [].</w:t>
      </w:r>
    </w:p>
    <w:p>
      <w:pPr>
        <w:spacing w:after="0" w:line="203"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6"/>
          <w:szCs w:val="16"/>
          <w:color w:val="auto"/>
        </w:rPr>
        <w:t>60 Heritage Drive, Pleasantville, NY 10570; Phone: 914-747-5262;</w:t>
      </w:r>
    </w:p>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pgoldstein@bulldoginvestors.com</w:t>
      </w:r>
    </w:p>
    <w:p>
      <w:pPr>
        <w:spacing w:after="0" w:line="200" w:lineRule="exact"/>
        <w:rPr>
          <w:sz w:val="24"/>
          <w:szCs w:val="24"/>
          <w:color w:val="auto"/>
        </w:rPr>
      </w:pPr>
    </w:p>
    <w:p>
      <w:pPr>
        <w:spacing w:after="0" w:line="204" w:lineRule="exact"/>
        <w:rPr>
          <w:sz w:val="24"/>
          <w:szCs w:val="24"/>
          <w:color w:val="auto"/>
        </w:rPr>
      </w:pPr>
    </w:p>
    <w:p>
      <w:pPr>
        <w:jc w:val="right"/>
        <w:ind w:right="3259"/>
        <w:spacing w:after="0"/>
        <w:rPr>
          <w:sz w:val="20"/>
          <w:szCs w:val="20"/>
          <w:color w:val="auto"/>
        </w:rPr>
      </w:pPr>
      <w:r>
        <w:rPr>
          <w:rFonts w:ascii="Courier New" w:cs="Courier New" w:eastAsia="Courier New" w:hAnsi="Courier New"/>
          <w:sz w:val="18"/>
          <w:szCs w:val="18"/>
          <w:color w:val="auto"/>
        </w:rPr>
        <w:t>September 13, 2019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Stanton P. Eigenbrodt, Secretary</w:t>
      </w:r>
    </w:p>
    <w:p>
      <w:pPr>
        <w:spacing w:after="0" w:line="238" w:lineRule="auto"/>
        <w:rPr>
          <w:sz w:val="20"/>
          <w:szCs w:val="20"/>
          <w:color w:val="auto"/>
        </w:rPr>
      </w:pPr>
      <w:r>
        <w:rPr>
          <w:rFonts w:ascii="Courier New" w:cs="Courier New" w:eastAsia="Courier New" w:hAnsi="Courier New"/>
          <w:sz w:val="18"/>
          <w:szCs w:val="18"/>
          <w:color w:val="auto"/>
        </w:rPr>
        <w:t>Vertical Capital Income Fund</w:t>
      </w:r>
    </w:p>
    <w:p>
      <w:pPr>
        <w:spacing w:after="0"/>
        <w:rPr>
          <w:sz w:val="20"/>
          <w:szCs w:val="20"/>
          <w:color w:val="auto"/>
        </w:rPr>
      </w:pPr>
      <w:r>
        <w:rPr>
          <w:rFonts w:ascii="Courier New" w:cs="Courier New" w:eastAsia="Courier New" w:hAnsi="Courier New"/>
          <w:sz w:val="18"/>
          <w:szCs w:val="18"/>
          <w:color w:val="auto"/>
        </w:rPr>
        <w:t>80 Arkay Drive, Suite 110</w:t>
      </w:r>
    </w:p>
    <w:p>
      <w:pPr>
        <w:spacing w:after="0" w:line="237" w:lineRule="auto"/>
        <w:rPr>
          <w:sz w:val="20"/>
          <w:szCs w:val="20"/>
          <w:color w:val="auto"/>
        </w:rPr>
      </w:pPr>
      <w:r>
        <w:rPr>
          <w:rFonts w:ascii="Courier New" w:cs="Courier New" w:eastAsia="Courier New" w:hAnsi="Courier New"/>
          <w:sz w:val="18"/>
          <w:szCs w:val="18"/>
          <w:color w:val="auto"/>
        </w:rPr>
        <w:t>Hauppauge, NY 11788.</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Dear Mr. Eigenbrodt:</w:t>
      </w:r>
    </w:p>
    <w:p>
      <w:pPr>
        <w:spacing w:after="0" w:line="207" w:lineRule="exact"/>
        <w:rPr>
          <w:sz w:val="20"/>
          <w:szCs w:val="20"/>
          <w:color w:val="auto"/>
        </w:rPr>
      </w:pPr>
    </w:p>
    <w:p>
      <w:pPr>
        <w:ind w:right="2939" w:firstLine="527"/>
        <w:spacing w:after="0" w:line="273" w:lineRule="auto"/>
        <w:rPr>
          <w:sz w:val="20"/>
          <w:szCs w:val="20"/>
          <w:color w:val="auto"/>
        </w:rPr>
      </w:pPr>
      <w:r>
        <w:rPr>
          <w:rFonts w:ascii="Courier New" w:cs="Courier New" w:eastAsia="Courier New" w:hAnsi="Courier New"/>
          <w:sz w:val="16"/>
          <w:szCs w:val="16"/>
          <w:color w:val="auto"/>
        </w:rPr>
        <w:t>I am a shareholder of record of Vertical Capital Income Fund (the "Fund"). As you know, an affiliate of mine is soliciting proxies for the 2019 annual meeting of shareholders of the Fund scheduled to be held on August 30, 2019 and which was adjourned first to September 11, 2019, and most recently to September 30, 2019</w:t>
      </w:r>
    </w:p>
    <w:p>
      <w:pPr>
        <w:spacing w:after="0" w:line="185"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Pursuant to Section 3819 of the Delaware Statutory Trust Act, I hereby demand (1) a current list of the name and last known business, residence or mailing address of each beneficial shareholder of the Fund that is entitled to vote at the meeting and the number of shares held by each such shareholder, (2) with respect to those shares held in street name, any information regarding beneficial owners that is in the possession of the Fund (or its agent) including a "Non Objecting Beneficial Owners" (NOBO) list, and (3) a list of the depositories of DTC (Cede) and the number of shares held by each depository on behalf of its customers. Please provide this information as soon as possible in precisely the same format as it was provided to the Fund (or its agent).</w:t>
      </w:r>
    </w:p>
    <w:p>
      <w:pPr>
        <w:spacing w:after="0" w:line="207" w:lineRule="exact"/>
        <w:rPr>
          <w:sz w:val="20"/>
          <w:szCs w:val="20"/>
          <w:color w:val="auto"/>
        </w:rPr>
      </w:pPr>
    </w:p>
    <w:p>
      <w:pPr>
        <w:ind w:right="3039" w:firstLine="527"/>
        <w:spacing w:after="0" w:line="275" w:lineRule="auto"/>
        <w:rPr>
          <w:sz w:val="20"/>
          <w:szCs w:val="20"/>
          <w:color w:val="auto"/>
        </w:rPr>
      </w:pPr>
      <w:r>
        <w:rPr>
          <w:rFonts w:ascii="Courier New" w:cs="Courier New" w:eastAsia="Courier New" w:hAnsi="Courier New"/>
          <w:sz w:val="16"/>
          <w:szCs w:val="16"/>
          <w:color w:val="auto"/>
        </w:rPr>
        <w:t>I hereby affirm that the requested information shall be used solely for soliciting proxies for the Fund's annual meeting and that neither I nor any affiliate of mine shall sell or offer it for sale or aid the procurement of such information for an improper purpose.</w:t>
      </w:r>
    </w:p>
    <w:p>
      <w:pPr>
        <w:spacing w:after="0" w:line="182"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If you wish, you may email the requested information to us or John Grau of InvestorCom, our proxy solicitor. Mr. Grau's email address is jgrau@investor-com.com.</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Phillip Goldstein</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Phillip Goldstein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Cc: Joanne M. Strasser, Thompson Hine LLP</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2020-01-07T23:12:10Z</dcterms:created>
  <dcterms:modified xsi:type="dcterms:W3CDTF">2020-01-07T23:12:10Z</dcterms:modified>
</cp:coreProperties>
</file>