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N-CSR</w:t>
      </w:r>
      <w:r>
        <w:rPr>
          <w:rFonts w:ascii="Times New Roman" w:cs="Times New Roman" w:eastAsia="Times New Roman" w:hAnsi="Times New Roman"/>
          <w:sz w:val="32"/>
          <w:szCs w:val="32"/>
          <w:b w:val="1"/>
          <w:bCs w:val="1"/>
          <w:color w:val="FFFFFF"/>
        </w:rPr>
        <w:t>S</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CERTIFIED SHAREHOLDER REPORT OF REGISTERED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MANAGEMENT INVESTMENT COMPANIES</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811-22554</w:t>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Carlyle Credit Income Fund</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Vanderbilt Avenue , Suite 3400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Lefkowitz,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Carlyle Credit Income Fund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Vanderbilt Avenue , Suite 3400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813-4900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fiscal year end: September 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reporting period: March 31, 2026</w:t>
      </w:r>
    </w:p>
    <w:p>
      <w:pPr>
        <w:sectPr>
          <w:pgSz w:w="11900" w:h="16838" w:orient="portrait"/>
          <w:cols w:equalWidth="0" w:num="1">
            <w:col w:w="9019"/>
          </w:cols>
          <w:pgMar w:left="1440" w:top="1440" w:right="1440" w:bottom="1440" w:gutter="0" w:footer="0" w:header="0"/>
        </w:sectPr>
      </w:pPr>
    </w:p>
    <w:bookmarkStart w:id="1" w:name="page2"/>
    <w:bookmarkEnd w:id="1"/>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Item 1. Reports to Stockholders</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semi-annual report to stockholders for the six month period ended March 31, 2026 is filed herewith pursuant to Rule 30e -1 under the Investment Company Act of 1940.</w:t>
      </w:r>
    </w:p>
    <w:p>
      <w:pPr>
        <w:sectPr>
          <w:pgSz w:w="11900" w:h="16838" w:orient="portrait"/>
          <w:cols w:equalWidth="0" w:num="1">
            <w:col w:w="9220"/>
          </w:cols>
          <w:pgMar w:left="1320" w:top="1440" w:right="1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CARLYLE CREDIT INCOME FUND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SEMI-ANNUAL REPORT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MARCH 31, 2026</w:t>
      </w:r>
    </w:p>
    <w:p>
      <w:pPr>
        <w:sectPr>
          <w:pgSz w:w="11900" w:h="16838" w:orient="portrait"/>
          <w:cols w:equalWidth="0" w:num="1">
            <w:col w:w="9139"/>
          </w:cols>
          <w:pgMar w:left="1320" w:top="1440" w:right="1440"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Carlyle Credit Income Fund</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Carlyle Credit Income Fund is an externally managed closed-end fund focused on primarily investing in equity and junior debt tranches of collateralized loan obligations ("CLOs"). The CLOs are collateralized by a portfolio consisting primarily of U.S. senior secured loans with a large number of distinct underlying borrowers across various industry sectors. With Carlyle Global Credit Investment Management L.L.C. (“Carlyle” or “CGCIM”) as its investment adviser, the Fund draws upon the significant scale and resources of Carlyle and its affiliates as one of the world's largest CLO managers. For more information, visit www.carlylecreditincomefund.com.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ectPr>
          <w:pgSz w:w="11900" w:h="16838" w:orient="portrait"/>
          <w:cols w:equalWidth="0" w:num="1">
            <w:col w:w="9220"/>
          </w:cols>
          <w:pgMar w:left="1320" w:top="1440" w:right="135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80"/>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56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666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Letter to Shareholders and Management’s Discussion of Fund Performance</w:t>
            </w:r>
          </w:p>
        </w:tc>
        <w:tc>
          <w:tcPr>
            <w:tcW w:w="132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Summary of Certain Unaudited Portfolio Characteristics</w:t>
            </w:r>
          </w:p>
        </w:tc>
        <w:tc>
          <w:tcPr>
            <w:tcW w:w="13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Expenses</w:t>
            </w:r>
          </w:p>
        </w:tc>
        <w:tc>
          <w:tcPr>
            <w:tcW w:w="13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of Assets and Liabilities</w:t>
            </w:r>
          </w:p>
        </w:tc>
        <w:tc>
          <w:tcPr>
            <w:tcW w:w="13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4"/>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Schedule of Investments</w:t>
            </w:r>
          </w:p>
        </w:tc>
        <w:tc>
          <w:tcPr>
            <w:tcW w:w="13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of Operations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Statements of Changes in Net Assets</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12</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of Cash Flows</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13</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Highlights</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14</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16</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4"/>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35</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Portfolio Proxy Voting Policies and Proxy Voting Record</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36</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6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Information</w:t>
            </w:r>
          </w:p>
        </w:tc>
        <w:tc>
          <w:tcPr>
            <w:tcW w:w="14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0000FF"/>
                <w:w w:val="99"/>
              </w:rPr>
              <w:t>37</w:t>
            </w:r>
          </w:p>
        </w:tc>
        <w:tc>
          <w:tcPr>
            <w:tcW w:w="120" w:type="dxa"/>
            <w:vAlign w:val="bottom"/>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9139"/>
          </w:cols>
          <w:pgMar w:left="1320" w:top="1440" w:right="1440" w:bottom="1440" w:gutter="0" w:footer="0" w:header="0"/>
        </w:sectPr>
      </w:pPr>
    </w:p>
    <w:bookmarkStart w:id="5" w:name="page6"/>
    <w:bookmarkEnd w:id="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Letter to Shareholders and Management’s Discussion of Fund Performance</w:t>
      </w:r>
    </w:p>
    <w:p>
      <w:pPr>
        <w:sectPr>
          <w:pgSz w:w="11900" w:h="16838" w:orient="portrait"/>
          <w:cols w:equalWidth="0" w:num="1">
            <w:col w:w="9220"/>
          </w:cols>
          <w:pgMar w:left="1320" w:top="1440" w:right="1359" w:bottom="1440" w:gutter="0" w:footer="0" w:header="0"/>
        </w:sectPr>
      </w:pPr>
    </w:p>
    <w:p>
      <w:pPr>
        <w:spacing w:after="0" w:line="237" w:lineRule="exact"/>
        <w:rPr>
          <w:sz w:val="20"/>
          <w:szCs w:val="20"/>
          <w:color w:val="auto"/>
        </w:rPr>
      </w:pPr>
    </w:p>
    <w:p>
      <w:pPr>
        <w:ind w:right="1740"/>
        <w:spacing w:after="0" w:line="271" w:lineRule="auto"/>
        <w:rPr>
          <w:sz w:val="20"/>
          <w:szCs w:val="20"/>
          <w:color w:val="auto"/>
        </w:rPr>
      </w:pPr>
      <w:r>
        <w:rPr>
          <w:rFonts w:ascii="Times New Roman" w:cs="Times New Roman" w:eastAsia="Times New Roman" w:hAnsi="Times New Roman"/>
          <w:sz w:val="18"/>
          <w:szCs w:val="18"/>
          <w:b w:val="1"/>
          <w:bCs w:val="1"/>
          <w:color w:val="auto"/>
        </w:rPr>
        <w:t>FUND REVIEW &amp; DISCUSSION OF PERFORMANCE</w:t>
      </w:r>
    </w:p>
    <w:p>
      <w:pPr>
        <w:spacing w:after="0" w:line="144" w:lineRule="exact"/>
        <w:rPr>
          <w:sz w:val="20"/>
          <w:szCs w:val="20"/>
          <w:color w:val="auto"/>
        </w:rPr>
      </w:pPr>
    </w:p>
    <w:p>
      <w:pPr>
        <w:ind w:right="600"/>
        <w:spacing w:after="0" w:line="238" w:lineRule="auto"/>
        <w:rPr>
          <w:sz w:val="20"/>
          <w:szCs w:val="20"/>
          <w:color w:val="auto"/>
        </w:rPr>
      </w:pPr>
      <w:r>
        <w:rPr>
          <w:rFonts w:ascii="Times New Roman" w:cs="Times New Roman" w:eastAsia="Times New Roman" w:hAnsi="Times New Roman"/>
          <w:sz w:val="18"/>
          <w:szCs w:val="18"/>
          <w:color w:val="auto"/>
        </w:rPr>
        <w:t>On May 19, 2026, Carlyle Credit Income Fund (“we,” “us,” “our,” “CCIF” or the “Fund”) (NYSE: CCIF) announced via press release the financial results for the second quarter ending March 31, 2026. Over the past six months, the Fund has successfully implemented the following:</w:t>
      </w:r>
    </w:p>
    <w:p>
      <w:pPr>
        <w:spacing w:after="0" w:line="172" w:lineRule="exact"/>
        <w:rPr>
          <w:sz w:val="20"/>
          <w:szCs w:val="20"/>
          <w:color w:val="auto"/>
        </w:rPr>
      </w:pPr>
    </w:p>
    <w:p>
      <w:pPr>
        <w:ind w:left="660" w:right="560" w:hanging="329"/>
        <w:spacing w:after="0" w:line="23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currently holds a diversified portfolio consisting of 44 unique collateralized loan obligation (“CLO”) investments managed by 24 different collateral managers with exposure to 1,850 separate loans.</w:t>
      </w:r>
    </w:p>
    <w:p>
      <w:pPr>
        <w:spacing w:after="0" w:line="1" w:lineRule="exact"/>
        <w:rPr>
          <w:rFonts w:ascii="Times New Roman" w:cs="Times New Roman" w:eastAsia="Times New Roman" w:hAnsi="Times New Roman"/>
          <w:sz w:val="18"/>
          <w:szCs w:val="18"/>
          <w:color w:val="auto"/>
        </w:rPr>
      </w:pPr>
    </w:p>
    <w:p>
      <w:pPr>
        <w:jc w:val="both"/>
        <w:ind w:left="660" w:right="1020" w:hanging="329"/>
        <w:spacing w:after="0" w:line="248"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GAAP yield of the portfolio is 11.06% as of March 31, 2026.</w:t>
      </w:r>
    </w:p>
    <w:p>
      <w:pPr>
        <w:spacing w:after="0" w:line="1" w:lineRule="exact"/>
        <w:rPr>
          <w:rFonts w:ascii="Times New Roman" w:cs="Times New Roman" w:eastAsia="Times New Roman" w:hAnsi="Times New Roman"/>
          <w:sz w:val="17"/>
          <w:szCs w:val="17"/>
          <w:color w:val="auto"/>
        </w:rPr>
      </w:pPr>
    </w:p>
    <w:p>
      <w:pPr>
        <w:ind w:left="660" w:right="420" w:hanging="329"/>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completed 6 accretive CLO refinancings and resets in the underlying portfolio to either reduce the weighted average cost of debt in the CLO or to extend the reinvestment period.</w:t>
      </w:r>
    </w:p>
    <w:p>
      <w:pPr>
        <w:spacing w:after="0" w:line="2" w:lineRule="exact"/>
        <w:rPr>
          <w:rFonts w:ascii="Times New Roman" w:cs="Times New Roman" w:eastAsia="Times New Roman" w:hAnsi="Times New Roman"/>
          <w:sz w:val="18"/>
          <w:szCs w:val="18"/>
          <w:color w:val="auto"/>
        </w:rPr>
      </w:pPr>
    </w:p>
    <w:p>
      <w:pPr>
        <w:ind w:left="660" w:right="500" w:hanging="329"/>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CCIF is providing a 21.49% annualized dividend based on the share price as of May 12, 2026.</w:t>
      </w:r>
    </w:p>
    <w:p>
      <w:pPr>
        <w:jc w:val="both"/>
        <w:ind w:left="660" w:right="480" w:hanging="329"/>
        <w:spacing w:after="0" w:line="248"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refinanced $52 million 8.75% Series A Term Preferred Shares with lower cost preferred shares with a weighted average coupon of 7.33%.</w:t>
      </w:r>
    </w:p>
    <w:p>
      <w:pPr>
        <w:spacing w:after="0" w:line="1" w:lineRule="exact"/>
        <w:rPr>
          <w:rFonts w:ascii="Times New Roman" w:cs="Times New Roman" w:eastAsia="Times New Roman" w:hAnsi="Times New Roman"/>
          <w:sz w:val="17"/>
          <w:szCs w:val="17"/>
          <w:color w:val="auto"/>
        </w:rPr>
      </w:pPr>
    </w:p>
    <w:p>
      <w:pPr>
        <w:jc w:val="both"/>
        <w:ind w:left="1300" w:right="580" w:hanging="321"/>
        <w:spacing w:after="0" w:line="234"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$30 million of 7.375% Series D Term Preferred Shares (NYSE: CCID)</w:t>
      </w:r>
    </w:p>
    <w:p>
      <w:pPr>
        <w:spacing w:after="0" w:line="1" w:lineRule="exact"/>
        <w:rPr>
          <w:rFonts w:ascii="Times New Roman" w:cs="Times New Roman" w:eastAsia="Times New Roman" w:hAnsi="Times New Roman"/>
          <w:sz w:val="18"/>
          <w:szCs w:val="18"/>
          <w:color w:val="auto"/>
        </w:rPr>
      </w:pPr>
    </w:p>
    <w:p>
      <w:pPr>
        <w:ind w:left="1300" w:right="400" w:hanging="321"/>
        <w:spacing w:after="0" w:line="234"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$17.5 million private placement of 7.25% Series E Convertible Preferred Shares</w:t>
      </w:r>
    </w:p>
    <w:p>
      <w:pPr>
        <w:spacing w:after="0" w:line="2" w:lineRule="exact"/>
        <w:rPr>
          <w:rFonts w:ascii="Times New Roman" w:cs="Times New Roman" w:eastAsia="Times New Roman" w:hAnsi="Times New Roman"/>
          <w:sz w:val="18"/>
          <w:szCs w:val="18"/>
          <w:color w:val="auto"/>
        </w:rPr>
      </w:pPr>
    </w:p>
    <w:p>
      <w:pPr>
        <w:ind w:left="660" w:right="780" w:hanging="329"/>
        <w:spacing w:after="0" w:line="24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redeemed all $20 million 7.50% Series C Convertible Preferred Shares</w:t>
      </w:r>
    </w:p>
    <w:p>
      <w:pPr>
        <w:spacing w:after="0" w:line="16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As of March 31, 2026, the NAV of the Fund is $3.34 per share.</w:t>
      </w:r>
    </w:p>
    <w:p>
      <w:pPr>
        <w:spacing w:after="0" w:line="149"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The Fund continues to hold one legacy real estate asset in the portfolio that was inherited from the prior advisor of the Fund. The fair market value of the loan is $2.2 million.</w:t>
      </w:r>
    </w:p>
    <w:p>
      <w:pPr>
        <w:spacing w:after="0" w:line="170" w:lineRule="exact"/>
        <w:rPr>
          <w:sz w:val="20"/>
          <w:szCs w:val="20"/>
          <w:color w:val="auto"/>
        </w:rPr>
      </w:pPr>
    </w:p>
    <w:p>
      <w:pPr>
        <w:ind w:right="680"/>
        <w:spacing w:after="0" w:line="242" w:lineRule="auto"/>
        <w:rPr>
          <w:sz w:val="20"/>
          <w:szCs w:val="20"/>
          <w:color w:val="auto"/>
        </w:rPr>
      </w:pPr>
      <w:r>
        <w:rPr>
          <w:rFonts w:ascii="Times New Roman" w:cs="Times New Roman" w:eastAsia="Times New Roman" w:hAnsi="Times New Roman"/>
          <w:sz w:val="18"/>
          <w:szCs w:val="18"/>
          <w:color w:val="auto"/>
        </w:rPr>
        <w:t>We believe Carlyle’s 15 years of CLO investment experience and its team of over 30+ credit investment professionals across the U.S. and Europe provide differentiated insights into the CLO market. Carlyle remains one of the largest CLO managers globally with</w:t>
      </w:r>
    </w:p>
    <w:p>
      <w:pPr>
        <w:spacing w:after="0" w:line="317" w:lineRule="exact"/>
        <w:rPr>
          <w:sz w:val="20"/>
          <w:szCs w:val="20"/>
          <w:color w:val="auto"/>
        </w:rPr>
      </w:pPr>
    </w:p>
    <w:p>
      <w:pPr>
        <w:ind w:left="120" w:hanging="113"/>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Carlyle Internal Sources as of December 31, 2025</w:t>
      </w:r>
    </w:p>
    <w:p>
      <w:pPr>
        <w:ind w:left="120" w:hanging="113"/>
        <w:spacing w:after="0" w:line="230" w:lineRule="auto"/>
        <w:tabs>
          <w:tab w:leader="none" w:pos="1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Leveraged Commentary &amp; Data (“LCD”) as of March 31, 2026</w:t>
      </w:r>
    </w:p>
    <w:p>
      <w:pPr>
        <w:spacing w:after="0" w:line="2" w:lineRule="exact"/>
        <w:rPr>
          <w:rFonts w:ascii="Times New Roman" w:cs="Times New Roman" w:eastAsia="Times New Roman" w:hAnsi="Times New Roman"/>
          <w:sz w:val="22"/>
          <w:szCs w:val="22"/>
          <w:color w:val="auto"/>
          <w:vertAlign w:val="superscript"/>
        </w:rPr>
      </w:pPr>
    </w:p>
    <w:p>
      <w:pPr>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Bloomberg as of March 31, 2026</w:t>
      </w:r>
    </w:p>
    <w:p>
      <w:pPr>
        <w:ind w:right="260"/>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Standard &amp; Poor’s Dow Jones Indices as of March 31, 2026 </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LCD as of March 31, 2026</w:t>
      </w:r>
    </w:p>
    <w:p>
      <w:pPr>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Levfin Insights as of March 31, 2026</w:t>
      </w:r>
    </w:p>
    <w:p>
      <w:pPr>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LCD as of March 31, 2026</w:t>
      </w:r>
    </w:p>
    <w:p>
      <w:pPr>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Citi research as of March 31, 2026</w:t>
      </w:r>
    </w:p>
    <w:p>
      <w:pPr>
        <w:spacing w:after="0" w:line="19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Wells Fargo Research as of March 31, 2026</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Citi research as of March 31, 2026</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approximately $50 billion in AUM and $3.4 billion in third party managed CLO investments.</w:t>
      </w:r>
      <w:r>
        <w:rPr>
          <w:rFonts w:ascii="Times New Roman" w:cs="Times New Roman" w:eastAsia="Times New Roman" w:hAnsi="Times New Roman"/>
          <w:sz w:val="23"/>
          <w:szCs w:val="23"/>
          <w:color w:val="auto"/>
          <w:vertAlign w:val="superscript"/>
        </w:rPr>
        <w:t>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REVIEW</w:t>
      </w:r>
    </w:p>
    <w:p>
      <w:pPr>
        <w:spacing w:after="0" w:line="20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Leveraged loans posted negative returns in Q1 2026 amid shifting market sentiment driven by geopolitical volatility, inflationary pressures, and uncertainty surrounding AI-driven disruption. The LSTA U.S. Leveraged Loan Index (the “LSTA Index”) returned -0.6% for Q1 2026, compared to -0.5% for high yield bonds and -4.3% for the S&amp;P 500.</w:t>
      </w:r>
      <w:r>
        <w:rPr>
          <w:rFonts w:ascii="Times New Roman" w:cs="Times New Roman" w:eastAsia="Times New Roman" w:hAnsi="Times New Roman"/>
          <w:sz w:val="22"/>
          <w:szCs w:val="22"/>
          <w:color w:val="auto"/>
          <w:vertAlign w:val="superscript"/>
        </w:rPr>
        <w:t>2,3,4</w:t>
      </w:r>
      <w:r>
        <w:rPr>
          <w:rFonts w:ascii="Times New Roman" w:cs="Times New Roman" w:eastAsia="Times New Roman" w:hAnsi="Times New Roman"/>
          <w:sz w:val="17"/>
          <w:szCs w:val="17"/>
          <w:color w:val="auto"/>
        </w:rPr>
        <w:t xml:space="preserve"> The Index price ended the quarter at $94.63, with only 14% of loans trading above par.</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Market conditions were characterized by increased dispersion across sectors and issuers during the quarter.</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Opportunistic loan repricing and refinancing activity was elevated in January, with repricings totaling $105.8 billion, but slowed materially over the remainder of Q1 2026, reflecting increased market volatility and softer secondary loan prices.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As a result, gross loan issuance totaled $223.8 billion in Q1 2026, representing a 33% decrease from Q1 2025.</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However, the market saw a pickup in larger new money transactions, including Electronic Arts, the largest leverage buyout ever. These transactions were generally met with strong investor demand, contributing to $51.0 billion of quarterly new money activity in the broadly syndicated loan (“BSL”) market, the highest level in four years.</w:t>
      </w:r>
      <w:r>
        <w:rPr>
          <w:rFonts w:ascii="Times New Roman" w:cs="Times New Roman" w:eastAsia="Times New Roman" w:hAnsi="Times New Roman"/>
          <w:sz w:val="23"/>
          <w:szCs w:val="23"/>
          <w:color w:val="auto"/>
          <w:vertAlign w:val="superscript"/>
        </w:rPr>
        <w:t>7</w:t>
      </w:r>
    </w:p>
    <w:p>
      <w:pPr>
        <w:spacing w:after="0" w:line="113"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The CLO market was active at the start of Q1 2026, with strong issuance in January, before activity moderated over the remainder of the quarter following increased market volatility.</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New issuance totaled $48.4 billion in the quarter, up from $45.0 billion in Q1 2025, as managers continued to access the primary market despite increased volatility.</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CLOs remained a key source of demand for leveraged loans, helping to support primary issuance and secondary market liquidity. Liability spreads widened modestly across the capital stack, with AAA spreads widening by approximately 5 bps quarter-over-quarter and</w:t>
      </w:r>
    </w:p>
    <w:p>
      <w:pPr>
        <w:spacing w:after="0" w:line="2" w:lineRule="exact"/>
        <w:rPr>
          <w:sz w:val="20"/>
          <w:szCs w:val="20"/>
          <w:color w:val="auto"/>
        </w:rPr>
      </w:pPr>
    </w:p>
    <w:p>
      <w:pPr>
        <w:ind w:right="220" w:firstLine="8"/>
        <w:spacing w:after="0" w:line="241" w:lineRule="auto"/>
        <w:tabs>
          <w:tab w:leader="none" w:pos="2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spreads at approximately 150 bps, contributing to a moderation in refinancing and reset activity during the quarter.</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CLO resets and refinances totaled $31.8 billion and $23.7 billion, respectively during the quarter, as managers continued to evaluate opportunities to extend reinvestment periods and optimize financing costs.</w:t>
      </w:r>
      <w:r>
        <w:rPr>
          <w:rFonts w:ascii="Times New Roman" w:cs="Times New Roman" w:eastAsia="Times New Roman" w:hAnsi="Times New Roman"/>
          <w:sz w:val="22"/>
          <w:szCs w:val="22"/>
          <w:color w:val="auto"/>
          <w:vertAlign w:val="superscript"/>
        </w:rPr>
        <w:t>10</w:t>
      </w:r>
    </w:p>
    <w:p>
      <w:pPr>
        <w:spacing w:after="0" w:line="2532" w:lineRule="exact"/>
        <w:rPr>
          <w:sz w:val="20"/>
          <w:szCs w:val="20"/>
          <w:color w:val="auto"/>
        </w:rPr>
      </w:pPr>
    </w:p>
    <w:p>
      <w:pPr>
        <w:sectPr>
          <w:pgSz w:w="11900" w:h="16838" w:orient="portrait"/>
          <w:cols w:equalWidth="0" w:num="2">
            <w:col w:w="4680" w:space="260"/>
            <w:col w:w="4280"/>
          </w:cols>
          <w:pgMar w:left="1320" w:top="1440" w:right="135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20"/>
          </w:cols>
          <w:pgMar w:left="1320" w:top="1440" w:right="1359" w:bottom="1440" w:gutter="0" w:footer="0" w:header="0"/>
          <w:type w:val="continuous"/>
        </w:sectPr>
      </w:pPr>
    </w:p>
    <w:bookmarkStart w:id="6" w:name="page7"/>
    <w:bookmarkEnd w:id="6"/>
    <w:p>
      <w:pPr>
        <w:spacing w:after="0" w:line="3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7"/>
          <w:szCs w:val="17"/>
          <w:color w:val="auto"/>
        </w:rPr>
        <w:t>Credit fundamentals across CLO portfolios remained broadly stable. Using Carlyle’s U.S. loan portfolio of over 550 borrowers as a proxy, more than 75% of borrowers generated positive free cash flow.</w:t>
      </w:r>
      <w:r>
        <w:rPr>
          <w:rFonts w:ascii="Times New Roman" w:cs="Times New Roman" w:eastAsia="Times New Roman" w:hAnsi="Times New Roman"/>
          <w:sz w:val="22"/>
          <w:szCs w:val="22"/>
          <w:color w:val="auto"/>
          <w:vertAlign w:val="superscript"/>
        </w:rPr>
        <w:t>11</w:t>
      </w:r>
      <w:r>
        <w:rPr>
          <w:rFonts w:ascii="Times New Roman" w:cs="Times New Roman" w:eastAsia="Times New Roman" w:hAnsi="Times New Roman"/>
          <w:sz w:val="17"/>
          <w:szCs w:val="17"/>
          <w:color w:val="auto"/>
        </w:rPr>
        <w:t xml:space="preserve"> Average borrower EBITDA and revenue growth were 3.0% and 4.9%, respectively, in Q4 2025.</w:t>
      </w:r>
      <w:r>
        <w:rPr>
          <w:rFonts w:ascii="Times New Roman" w:cs="Times New Roman" w:eastAsia="Times New Roman" w:hAnsi="Times New Roman"/>
          <w:sz w:val="22"/>
          <w:szCs w:val="22"/>
          <w:color w:val="auto"/>
          <w:vertAlign w:val="superscript"/>
        </w:rPr>
        <w:t>11</w:t>
      </w:r>
      <w:r>
        <w:rPr>
          <w:rFonts w:ascii="Times New Roman" w:cs="Times New Roman" w:eastAsia="Times New Roman" w:hAnsi="Times New Roman"/>
          <w:sz w:val="17"/>
          <w:szCs w:val="17"/>
          <w:color w:val="auto"/>
        </w:rPr>
        <w:t xml:space="preserve"> The average Interest Coverage Ratio (“ICR”) remained healthy at approximately 3.8x, reflecting continued focus on managing interest expense and maintaining steady underlying cash flows.</w:t>
      </w:r>
      <w:r>
        <w:rPr>
          <w:rFonts w:ascii="Times New Roman" w:cs="Times New Roman" w:eastAsia="Times New Roman" w:hAnsi="Times New Roman"/>
          <w:sz w:val="22"/>
          <w:szCs w:val="22"/>
          <w:color w:val="auto"/>
          <w:vertAlign w:val="superscript"/>
        </w:rPr>
        <w:t>11</w:t>
      </w:r>
    </w:p>
    <w:p>
      <w:pPr>
        <w:spacing w:after="0" w:line="10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While fundamentals remain stable overall, pressure is building at the margins among lower-quality credits. These metrics provide important insight into the health of the underlying collateral and continue to inform our bottom-up CLO investment process.</w:t>
      </w:r>
    </w:p>
    <w:p>
      <w:pPr>
        <w:spacing w:after="0" w:line="17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As of March 31, 2026, the J.P. Morgan Leveraged Loan Index default rate, including distressed exchanges (“DEs”), was 3.04%, compared to a recent peak of 4.49% in December 2024.</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Carlyle continues to leverage the insights of its dedicated Special Credits Group and 30+ credit analysts when evaluating loan borrowers in third-party managed CLO portfolios. This is evidenced by a CCIF portfolio default rate of approximately 1.18%, inclusive of DEs, which remains meaningfully below the broader market rate.</w:t>
      </w:r>
    </w:p>
    <w:p>
      <w:pPr>
        <w:spacing w:after="0" w:line="17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While extended reinvestment periods continue to support CLO structures, wider liability spreads, weaker marks in software loans, and softer loan prices contributed to pressure on CLO equity cash-on-cash distributions and the fair market value of CLO equity positions. Importantly, recent performance in CLO equity reflects valuation and technical factors rather than a deterioration in underlying credit fundamentals, as portfolio credit metrics remained broadly stable. Repricing activity moderated in February and March following elevated levels in January and throughout 2025, though its cumulative impact continues to influence cash flows. These dynamics have been driven in part by supply and demand imbalances in the loan market, including periods of limited net issuance and evolving investor demand. As a result, quarterly payments for CLO equity declined modestly during the quarter.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&amp; OUTLOOK</w:t>
      </w:r>
    </w:p>
    <w:p>
      <w:pPr>
        <w:spacing w:after="0" w:line="2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remain confident in the resilience of our portfolio, which is diversified across high-quality managers and structured to navigate evolving market conditions. While liability costs have increased and equity distributions have moderated, we believe resilient credit fundamentals and continued demand for floating rate assets will support CLO performance over time. Recent performance has been driven more by valuation and technical factors than</w:t>
      </w:r>
    </w:p>
    <w:p>
      <w:pPr>
        <w:spacing w:after="0" w:line="195" w:lineRule="exact"/>
        <w:rPr>
          <w:sz w:val="20"/>
          <w:szCs w:val="20"/>
          <w:color w:val="auto"/>
        </w:rPr>
      </w:pPr>
    </w:p>
    <w:p>
      <w:pPr>
        <w:ind w:left="160" w:hanging="153"/>
        <w:spacing w:after="0"/>
        <w:tabs>
          <w:tab w:leader="none" w:pos="1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Carlyle Internal Sources as of December 31, 2025</w:t>
      </w:r>
    </w:p>
    <w:p>
      <w:pPr>
        <w:spacing w:after="0" w:line="1" w:lineRule="exact"/>
        <w:rPr>
          <w:rFonts w:ascii="Times New Roman" w:cs="Times New Roman" w:eastAsia="Times New Roman" w:hAnsi="Times New Roman"/>
          <w:sz w:val="22"/>
          <w:szCs w:val="22"/>
          <w:color w:val="auto"/>
          <w:vertAlign w:val="superscript"/>
        </w:rPr>
      </w:pPr>
    </w:p>
    <w:p>
      <w:pPr>
        <w:ind w:left="160" w:hanging="153"/>
        <w:spacing w:after="0" w:line="203" w:lineRule="auto"/>
        <w:tabs>
          <w:tab w:leader="none" w:pos="1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JPM Default Monitor as of March 31, 2026</w:t>
      </w:r>
    </w:p>
    <w:p>
      <w:pPr>
        <w:spacing w:after="0" w:line="2" w:lineRule="exact"/>
        <w:rPr>
          <w:rFonts w:ascii="Times New Roman" w:cs="Times New Roman" w:eastAsia="Times New Roman" w:hAnsi="Times New Roman"/>
          <w:sz w:val="22"/>
          <w:szCs w:val="22"/>
          <w:color w:val="auto"/>
          <w:vertAlign w:val="superscript"/>
        </w:rPr>
      </w:pPr>
    </w:p>
    <w:p>
      <w:pPr>
        <w:ind w:left="160" w:hanging="153"/>
        <w:spacing w:after="0" w:line="203" w:lineRule="auto"/>
        <w:tabs>
          <w:tab w:leader="none" w:pos="1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Creditflux as of March 31, 2026</w:t>
      </w:r>
    </w:p>
    <w:p>
      <w:pPr>
        <w:spacing w:after="0" w:line="2" w:lineRule="exact"/>
        <w:rPr>
          <w:rFonts w:ascii="Times New Roman" w:cs="Times New Roman" w:eastAsia="Times New Roman" w:hAnsi="Times New Roman"/>
          <w:sz w:val="22"/>
          <w:szCs w:val="22"/>
          <w:color w:val="auto"/>
          <w:vertAlign w:val="superscript"/>
        </w:rPr>
      </w:pPr>
    </w:p>
    <w:p>
      <w:pPr>
        <w:ind w:left="160" w:hanging="153"/>
        <w:spacing w:after="0" w:line="203" w:lineRule="auto"/>
        <w:tabs>
          <w:tab w:leader="none" w:pos="1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Carlyle Internal Sources as of March 31, 2026</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underlying credit deterioration, and we continue to see opportunities emerging as market conditions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-1052830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12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CLO equity remains positioned to benefit from improving market dynamics, supported by transactions with extended reinvestment periods. Primary market activity has moderated from the elevated pace seen in 2025 and is expected to remain more measured in the near term. Future results will depend on managers’ reinvestment discipline and their ability to actively manage portfolios and mitigate credit risk.</w:t>
      </w:r>
    </w:p>
    <w:p>
      <w:pPr>
        <w:spacing w:after="0" w:line="17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We continue to monitor the impact of market volatility and have positioned CCIF’s portfolio conservatively, with a focus on experienced managers and portfolios demonstrating strong par build and credit discipline. This approach has resulted in a weighted average junior overcollateralization cushion of 4.18%.</w:t>
      </w:r>
    </w:p>
    <w:p>
      <w:pPr>
        <w:spacing w:after="0" w:line="17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We continue to deploy capital selectively, focusing on opportunities that offer compelling relative value across both new and seasoned transactions. We leverage Carlyle’s in-house credit research team, part of one of the largest U.S. CLO managers, to conduct detailed, bottom-up analysis on each underlying loan, including software-related exposures, with a focus on identifying and assessing tail risks across portfolios.</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We are increasingly focused on the evolving implications of AI-driven disruption across leveraged finance, particularly within software companies; however, we believe these risks are partially mitigated by the portfolio’s overall diversification and senior positioning. Our exposure remains highly diversified across 1,850 underlying loans, with exposure to any single loan representing less than 1% of the portfolio.</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In addition, our portfolios are predominantly comprised of first-lien senior secured loans (over 97% of exposure), where loan-to-value ratios are typically below 50%, providing a meaningful cushion against potential downside.</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xml:space="preserve"> As such, we view current risks as less about near-term operating deterioration and more related to valuation pressure, potential moderation in growth, and increased investment requirements for issuers to remain competitive.</w:t>
      </w:r>
    </w:p>
    <w:p>
      <w:pPr>
        <w:spacing w:after="0" w:line="17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For CCIF, we remain focused on CLO equity positions with clean underlying loan portfolios. We continue to leverage Carlyle’s 15-step CLO investment process and the credit expertise of the broader Carlyle Liquid Credit platform.</w:t>
      </w:r>
    </w:p>
    <w:p>
      <w:pPr>
        <w:spacing w:after="0" w:line="2576" w:lineRule="exact"/>
        <w:rPr>
          <w:sz w:val="20"/>
          <w:szCs w:val="20"/>
          <w:color w:val="auto"/>
        </w:rPr>
      </w:pPr>
    </w:p>
    <w:p>
      <w:pPr>
        <w:sectPr>
          <w:pgSz w:w="11900" w:h="16838" w:orient="portrait"/>
          <w:cols w:equalWidth="0" w:num="2">
            <w:col w:w="4280" w:space="660"/>
            <w:col w:w="4280"/>
          </w:cols>
          <w:pgMar w:left="1320" w:top="1440" w:right="135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20"/>
          </w:cols>
          <w:pgMar w:left="1320" w:top="1440" w:right="1359" w:bottom="1440" w:gutter="0" w:footer="0" w:header="0"/>
          <w:type w:val="continuous"/>
        </w:sectPr>
      </w:pPr>
    </w:p>
    <w:bookmarkStart w:id="7" w:name="page8"/>
    <w:bookmarkEnd w:id="7"/>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SUMMARY OF CERTAIN UNAUDITED PORTFOLIO CHARACTERISTICS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presented below is on a look-through basis to the collateralized loan obligation, or “CLO”, equity and related investments held by the Fund as of March 31, 2026, and reflects the aggregate underlying exposure of the Fund based on the portfolios of those investments. The data is estimated, unaudited, and derived from CLO trustee reports received by the Fund as of and for the six month period ended March 31, 2026 and from custody statements and/or other information received from CLO collateral managers, or third party sources.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Portfolio Investment Breakdown as of March 31, 2026</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(Excludes cash equivalents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Summary of Underlying Portfolio</w:t>
      </w:r>
    </w:p>
    <w:p>
      <w:pPr>
        <w:spacing w:after="0" w:line="34"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Number of Unique Underlying Loan Obligors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Number of Underlying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Aggregate Balance of Underlying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 Billion</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Average Individual Loan Obligor Exposure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Currency: USD Exposure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Aggregate Indirect Exposure to Senior Secured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97.18 %</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Junior OC Cushion</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Market Price of Loan Collateral</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94.32</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CLO Reinvestment Period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years</w:t>
            </w:r>
          </w:p>
        </w:tc>
        <w:tc>
          <w:tcPr>
            <w:tcW w:w="0" w:type="dxa"/>
            <w:vAlign w:val="bottom"/>
          </w:tcPr>
          <w:p>
            <w:pPr>
              <w:spacing w:after="0"/>
              <w:rPr>
                <w:sz w:val="1"/>
                <w:szCs w:val="1"/>
                <w:color w:val="auto"/>
              </w:rPr>
            </w:pPr>
          </w:p>
        </w:tc>
      </w:tr>
      <w:tr>
        <w:trPr>
          <w:trHeight w:val="181"/>
        </w:trPr>
        <w:tc>
          <w:tcPr>
            <w:tcW w:w="50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CCIF’s Last 12 Month Default Rate including Distressed Exchanges of</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Underlying Loans</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Loan Market Default Rate including Distressed Exchanges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00"/>
          </w:cols>
          <w:pgMar w:left="1320" w:top="1440" w:right="137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Top 10 Underlying Obligors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8"/>
        </w:trPr>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Obligor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Total</w:t>
            </w:r>
          </w:p>
        </w:tc>
        <w:tc>
          <w:tcPr>
            <w:tcW w:w="180" w:type="dxa"/>
            <w:vAlign w:val="bottom"/>
            <w:tcBorders>
              <w:bottom w:val="single" w:sz="8" w:color="auto"/>
            </w:tcBorders>
          </w:tcPr>
          <w:p>
            <w:pPr>
              <w:spacing w:after="0"/>
              <w:rPr>
                <w:sz w:val="18"/>
                <w:szCs w:val="18"/>
                <w:color w:val="auto"/>
              </w:rPr>
            </w:pPr>
          </w:p>
        </w:tc>
      </w:tr>
      <w:tr>
        <w:trPr>
          <w:trHeight w:val="217"/>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TransDigm</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Hologic</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TIBCO Software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Citadel Securities LP</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Jane Street Group</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Acrisure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Quikrete Companies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Sedgwick Claims Management Service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Ensemble RCM</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Belron FIN 2019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4.41 %</w:t>
            </w:r>
          </w:p>
        </w:tc>
      </w:tr>
    </w:tbl>
    <w:p>
      <w:pPr>
        <w:spacing w:after="0" w:line="200" w:lineRule="exact"/>
        <w:rPr>
          <w:sz w:val="20"/>
          <w:szCs w:val="20"/>
          <w:color w:val="auto"/>
        </w:rPr>
      </w:pPr>
    </w:p>
    <w:p>
      <w:pPr>
        <w:spacing w:after="0" w:line="3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Weighted Average Rating Distribution</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b w:val="1"/>
          <w:bCs w:val="1"/>
          <w:color w:val="auto"/>
        </w:rPr>
        <w:t>Wtd Avg =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Weighted Average Price Distribution</w:t>
      </w:r>
    </w:p>
    <w:p>
      <w:pPr>
        <w:spacing w:after="0" w:line="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Wtd Avg = 94.32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8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Top 10 Industries of Underlying Obligors</w:t>
            </w:r>
          </w:p>
        </w:tc>
        <w:tc>
          <w:tcPr>
            <w:tcW w:w="180" w:type="dxa"/>
            <w:vAlign w:val="bottom"/>
          </w:tcPr>
          <w:p>
            <w:pPr>
              <w:spacing w:after="0"/>
              <w:rPr>
                <w:sz w:val="18"/>
                <w:szCs w:val="18"/>
                <w:color w:val="auto"/>
              </w:rPr>
            </w:pPr>
          </w:p>
        </w:tc>
      </w:tr>
      <w:tr>
        <w:trPr>
          <w:trHeight w:val="263"/>
        </w:trPr>
        <w:tc>
          <w:tcPr>
            <w:tcW w:w="3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Total</w:t>
            </w:r>
          </w:p>
        </w:tc>
        <w:tc>
          <w:tcPr>
            <w:tcW w:w="180" w:type="dxa"/>
            <w:vAlign w:val="bottom"/>
            <w:tcBorders>
              <w:bottom w:val="single" w:sz="8" w:color="auto"/>
            </w:tcBorders>
          </w:tcPr>
          <w:p>
            <w:pPr>
              <w:spacing w:after="0"/>
              <w:rPr>
                <w:sz w:val="22"/>
                <w:szCs w:val="22"/>
                <w:color w:val="auto"/>
              </w:rPr>
            </w:pPr>
          </w:p>
        </w:tc>
      </w:tr>
      <w:tr>
        <w:trPr>
          <w:trHeight w:val="217"/>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Healthcare &amp; Pharmaceuticals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High Tech</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Banking, Finance, Insurance &amp; Real Estate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 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Hotels, Gaming &amp; Leisure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 Equipment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Beverage, Food &amp; Tobacco</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Construction &amp; Building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Aerospace &amp; Defense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3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Energy: Oil &amp; Gas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68.95 %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-3212465</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auto"/>
        </w:rPr>
        <w:t>Weighted Average Maturity Distribution</w:t>
      </w:r>
    </w:p>
    <w:p>
      <w:pPr>
        <w:spacing w:after="0" w:line="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Wtd Avg = 4.6 yrs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Weighted Average Spread Distribution</w:t>
      </w:r>
    </w:p>
    <w:p>
      <w:pPr>
        <w:spacing w:after="0" w:line="2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b w:val="1"/>
          <w:bCs w:val="1"/>
          <w:color w:val="auto"/>
        </w:rPr>
        <w:t>Wtd Avg = 2.96%</w:t>
      </w:r>
    </w:p>
    <w:p>
      <w:pPr>
        <w:spacing w:after="0" w:line="200" w:lineRule="exact"/>
        <w:rPr>
          <w:sz w:val="20"/>
          <w:szCs w:val="20"/>
          <w:color w:val="auto"/>
        </w:rPr>
      </w:pPr>
    </w:p>
    <w:p>
      <w:pPr>
        <w:sectPr>
          <w:pgSz w:w="11900" w:h="16838" w:orient="portrait"/>
          <w:cols w:equalWidth="0" w:num="2">
            <w:col w:w="4100" w:space="480"/>
            <w:col w:w="4559"/>
          </w:cols>
          <w:pgMar w:left="1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139"/>
          </w:cols>
          <w:pgMar w:left="1320" w:top="1440" w:right="1440" w:bottom="1440" w:gutter="0" w:footer="0" w:header="0"/>
          <w:type w:val="continuous"/>
        </w:sectPr>
      </w:pPr>
    </w:p>
    <w:bookmarkStart w:id="9" w:name="page10"/>
    <w:bookmarkEnd w:id="9"/>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17"/>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17"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is intended to assist in understanding the costs and expenses that an investor in our common shares will bear, directly or indirectly, based on the assumptions set forth below. The expenses shown in the table under “Annual Expenses” are estimated amounts based on historical fees and expenses, as appropriate. We caution that some of the percentages indicated in the table below are estimates and may vary. Except where the context suggests otherwise, whenever this table contains a reference to our fees or expenses, we will pay such fees and expenses out of our net assets and, consequently, shareholders will indirectly bear such fees or expenses as investors in the Fund.</w:t>
      </w:r>
    </w:p>
    <w:p>
      <w:pPr>
        <w:spacing w:after="0" w:line="203" w:lineRule="exact"/>
        <w:rPr>
          <w:sz w:val="20"/>
          <w:szCs w:val="20"/>
          <w:color w:val="auto"/>
        </w:rPr>
      </w:pPr>
    </w:p>
    <w:tbl>
      <w:tblPr>
        <w:tblLayout w:type="fixed"/>
        <w:tblInd w:w="317" w:type="dxa"/>
        <w:tblCellMar>
          <w:top w:w="0" w:type="dxa"/>
          <w:left w:w="0" w:type="dxa"/>
          <w:bottom w:w="0" w:type="dxa"/>
          <w:right w:w="0" w:type="dxa"/>
        </w:tblCellMar>
      </w:tblPr>
      <w:tr>
        <w:trPr>
          <w:trHeight w:val="191"/>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SHAREHOLDER TRANSACTION FEES</w:t>
            </w: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Sales load</w:t>
            </w:r>
          </w:p>
        </w:tc>
        <w:tc>
          <w:tcPr>
            <w:tcW w:w="1700" w:type="dxa"/>
            <w:vAlign w:val="bottom"/>
            <w:gridSpan w:val="3"/>
            <w:shd w:val="clear" w:color="auto" w:fill="CCEEFF"/>
          </w:tcPr>
          <w:p>
            <w:pPr>
              <w:jc w:val="right"/>
              <w:ind w:right="12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9"/>
                <w:szCs w:val="9"/>
                <w:color w:val="auto"/>
              </w:rPr>
              <w:t xml:space="preserve"> (1)</w:t>
            </w:r>
          </w:p>
        </w:tc>
      </w:tr>
      <w:tr>
        <w:trPr>
          <w:trHeight w:val="229"/>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Offering expenses borne by the Fund</w:t>
            </w:r>
          </w:p>
        </w:tc>
        <w:tc>
          <w:tcPr>
            <w:tcW w:w="1700" w:type="dxa"/>
            <w:vAlign w:val="bottom"/>
            <w:gridSpan w:val="3"/>
          </w:tcPr>
          <w:p>
            <w:pPr>
              <w:jc w:val="right"/>
              <w:ind w:right="12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9"/>
                <w:szCs w:val="9"/>
                <w:color w:val="auto"/>
              </w:rPr>
              <w:t xml:space="preserve"> (2)</w:t>
            </w:r>
          </w:p>
        </w:tc>
      </w:tr>
      <w:tr>
        <w:trPr>
          <w:trHeight w:val="229"/>
        </w:trPr>
        <w:tc>
          <w:tcPr>
            <w:tcW w:w="5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Dividend reinvestment plan expenses</w:t>
            </w:r>
          </w:p>
        </w:tc>
        <w:tc>
          <w:tcPr>
            <w:tcW w:w="1700" w:type="dxa"/>
            <w:vAlign w:val="bottom"/>
            <w:gridSpan w:val="3"/>
            <w:shd w:val="clear" w:color="auto" w:fill="CCEEFF"/>
          </w:tcPr>
          <w:p>
            <w:pPr>
              <w:jc w:val="right"/>
              <w:ind w:right="12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9"/>
                <w:szCs w:val="9"/>
                <w:color w:val="auto"/>
              </w:rPr>
              <w:t xml:space="preserve"> (3)</w:t>
            </w:r>
          </w:p>
        </w:tc>
      </w:tr>
      <w:tr>
        <w:trPr>
          <w:trHeight w:val="429"/>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shareholder transaction fees</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9"/>
                <w:szCs w:val="9"/>
                <w:color w:val="auto"/>
              </w:rPr>
              <w:t xml:space="preserve"> (4)</w:t>
            </w:r>
          </w:p>
        </w:tc>
      </w:tr>
      <w:tr>
        <w:trPr>
          <w:trHeight w:val="260"/>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ESTIMATED ANNUAL FUND EXPENSES</w:t>
            </w:r>
          </w:p>
        </w:tc>
        <w:tc>
          <w:tcPr>
            <w:tcW w:w="1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9"/>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a percentage of net assets attributable to common shares)</w:t>
            </w: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Management Fee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420" w:type="dxa"/>
            <w:vAlign w:val="bottom"/>
            <w:shd w:val="clear" w:color="auto" w:fill="CCEEFF"/>
          </w:tcPr>
          <w:p>
            <w:pPr>
              <w:jc w:val="right"/>
              <w:ind w:right="37"/>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9"/>
                <w:szCs w:val="9"/>
                <w:color w:val="auto"/>
              </w:rPr>
              <w:t xml:space="preserve"> (5)</w:t>
            </w:r>
          </w:p>
        </w:tc>
        <w:tc>
          <w:tcPr>
            <w:tcW w:w="40" w:type="dxa"/>
            <w:vAlign w:val="bottom"/>
          </w:tcPr>
          <w:p>
            <w:pPr>
              <w:spacing w:after="0"/>
              <w:rPr>
                <w:sz w:val="19"/>
                <w:szCs w:val="19"/>
                <w:color w:val="auto"/>
              </w:rPr>
            </w:pPr>
          </w:p>
        </w:tc>
      </w:tr>
      <w:tr>
        <w:trPr>
          <w:trHeight w:val="229"/>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Incentive Fee payable under Investment Advisory Agreement (17.5%)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20" w:type="dxa"/>
            <w:vAlign w:val="bottom"/>
          </w:tcPr>
          <w:p>
            <w:pPr>
              <w:jc w:val="right"/>
              <w:ind w:right="37"/>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9"/>
                <w:szCs w:val="9"/>
                <w:color w:val="auto"/>
              </w:rPr>
              <w:t xml:space="preserve"> (6)</w:t>
            </w:r>
          </w:p>
        </w:tc>
        <w:tc>
          <w:tcPr>
            <w:tcW w:w="40" w:type="dxa"/>
            <w:vAlign w:val="bottom"/>
          </w:tcPr>
          <w:p>
            <w:pPr>
              <w:spacing w:after="0"/>
              <w:rPr>
                <w:sz w:val="19"/>
                <w:szCs w:val="19"/>
                <w:color w:val="auto"/>
              </w:rPr>
            </w:pPr>
          </w:p>
        </w:tc>
      </w:tr>
      <w:tr>
        <w:trPr>
          <w:trHeight w:val="229"/>
        </w:trPr>
        <w:tc>
          <w:tcPr>
            <w:tcW w:w="5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payments and fees on borrowed funds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420" w:type="dxa"/>
            <w:vAlign w:val="bottom"/>
            <w:shd w:val="clear" w:color="auto" w:fill="CCEEFF"/>
          </w:tcPr>
          <w:p>
            <w:pPr>
              <w:jc w:val="right"/>
              <w:ind w:right="37"/>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9"/>
                <w:szCs w:val="9"/>
                <w:color w:val="auto"/>
              </w:rPr>
              <w:t xml:space="preserve"> (7)</w:t>
            </w:r>
          </w:p>
        </w:tc>
        <w:tc>
          <w:tcPr>
            <w:tcW w:w="40" w:type="dxa"/>
            <w:vAlign w:val="bottom"/>
          </w:tcPr>
          <w:p>
            <w:pPr>
              <w:spacing w:after="0"/>
              <w:rPr>
                <w:sz w:val="19"/>
                <w:szCs w:val="19"/>
                <w:color w:val="auto"/>
              </w:rPr>
            </w:pPr>
          </w:p>
        </w:tc>
      </w:tr>
      <w:tr>
        <w:trPr>
          <w:trHeight w:val="230"/>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20" w:type="dxa"/>
            <w:vAlign w:val="bottom"/>
          </w:tcPr>
          <w:p>
            <w:pPr>
              <w:jc w:val="right"/>
              <w:ind w:right="37"/>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9"/>
                <w:szCs w:val="9"/>
                <w:color w:val="auto"/>
              </w:rPr>
              <w:t xml:space="preserve"> (8)</w:t>
            </w:r>
          </w:p>
        </w:tc>
        <w:tc>
          <w:tcPr>
            <w:tcW w:w="40" w:type="dxa"/>
            <w:vAlign w:val="bottom"/>
          </w:tcPr>
          <w:p>
            <w:pPr>
              <w:spacing w:after="0"/>
              <w:rPr>
                <w:sz w:val="19"/>
                <w:szCs w:val="19"/>
                <w:color w:val="auto"/>
              </w:rPr>
            </w:pPr>
          </w:p>
        </w:tc>
      </w:tr>
      <w:tr>
        <w:trPr>
          <w:trHeight w:val="229"/>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annual fund expenses</w:t>
            </w:r>
          </w:p>
        </w:tc>
        <w:tc>
          <w:tcPr>
            <w:tcW w:w="16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16.12 %</w:t>
            </w:r>
          </w:p>
        </w:tc>
        <w:tc>
          <w:tcPr>
            <w:tcW w:w="40" w:type="dxa"/>
            <w:vAlign w:val="bottom"/>
          </w:tcPr>
          <w:p>
            <w:pPr>
              <w:spacing w:after="0"/>
              <w:rPr>
                <w:sz w:val="19"/>
                <w:szCs w:val="19"/>
                <w:color w:val="auto"/>
              </w:rPr>
            </w:pPr>
          </w:p>
        </w:tc>
      </w:tr>
    </w:tbl>
    <w:p>
      <w:pPr>
        <w:spacing w:after="0" w:line="162" w:lineRule="exact"/>
        <w:rPr>
          <w:sz w:val="20"/>
          <w:szCs w:val="20"/>
          <w:color w:val="auto"/>
        </w:rPr>
      </w:pPr>
    </w:p>
    <w:p>
      <w:pPr>
        <w:ind w:left="317" w:right="460" w:hanging="317"/>
        <w:spacing w:after="0" w:line="267"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the event that the Fund sells its securities publicly through underwriters or agents the related prospectus supplement will disclose the applicable sales load.</w:t>
      </w:r>
    </w:p>
    <w:p>
      <w:pPr>
        <w:ind w:left="317" w:right="200" w:hanging="317"/>
        <w:spacing w:after="0" w:line="252"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 the event that the Fund sells its securities publicly through underwriters or agents the related prospectus supplement will disclose the estimated amount of total offering expenses (which may include offering expenses borne by third parties on the Fund’s behalf), the offering price and the offering expenses borne by the Fund as a percentage of the offering price.</w:t>
      </w:r>
    </w:p>
    <w:p>
      <w:pPr>
        <w:ind w:left="317" w:right="100" w:hanging="317"/>
        <w:spacing w:after="0" w:line="255"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expenses of administering the dividend reinvestment plan (the “DRP”) are included in “Other Expenses.” Investors will pay brokerage charges if they direct their broker or the DRP Plan agent to sell their Common Shares that they acquired pursuant to the DRP. See </w:t>
      </w:r>
      <w:r>
        <w:rPr>
          <w:rFonts w:ascii="Times New Roman" w:cs="Times New Roman" w:eastAsia="Times New Roman" w:hAnsi="Times New Roman"/>
          <w:sz w:val="16"/>
          <w:szCs w:val="16"/>
          <w:b w:val="1"/>
          <w:bCs w:val="1"/>
          <w:i w:val="1"/>
          <w:iCs w:val="1"/>
          <w:color w:val="auto"/>
        </w:rPr>
        <w:t>“Dividend</w:t>
      </w:r>
    </w:p>
    <w:p>
      <w:pPr>
        <w:ind w:left="317"/>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b w:val="1"/>
          <w:bCs w:val="1"/>
          <w:i w:val="1"/>
          <w:iCs w:val="1"/>
          <w:color w:val="auto"/>
        </w:rPr>
        <w:t>Reinvestment Plan.”</w:t>
      </w:r>
    </w:p>
    <w:p>
      <w:pPr>
        <w:spacing w:after="0" w:line="8" w:lineRule="exact"/>
        <w:rPr>
          <w:rFonts w:ascii="Times New Roman" w:cs="Times New Roman" w:eastAsia="Times New Roman" w:hAnsi="Times New Roman"/>
          <w:sz w:val="13"/>
          <w:szCs w:val="13"/>
          <w:color w:val="auto"/>
        </w:rPr>
      </w:pPr>
    </w:p>
    <w:p>
      <w:pPr>
        <w:ind w:left="317" w:right="500" w:hanging="317"/>
        <w:spacing w:after="0" w:line="253"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related prospectus supplement will disclose the offering price and the total stockholder transaction expenses as a percentage of the offering price.</w:t>
      </w:r>
    </w:p>
    <w:p>
      <w:pPr>
        <w:ind w:left="317" w:right="80" w:hanging="317"/>
        <w:spacing w:after="0" w:line="253"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spacing w:after="0" w:line="1" w:lineRule="exact"/>
        <w:rPr>
          <w:rFonts w:ascii="Times New Roman" w:cs="Times New Roman" w:eastAsia="Times New Roman" w:hAnsi="Times New Roman"/>
          <w:sz w:val="13"/>
          <w:szCs w:val="13"/>
          <w:color w:val="auto"/>
        </w:rPr>
      </w:pPr>
    </w:p>
    <w:p>
      <w:pPr>
        <w:ind w:left="317" w:right="20" w:hanging="317"/>
        <w:spacing w:after="0" w:line="255" w:lineRule="auto"/>
        <w:tabs>
          <w:tab w:leader="none" w:pos="317"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Fund shall pay CGCIM an Incentive Fee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spacing w:after="0" w:line="77" w:lineRule="exact"/>
        <w:rPr>
          <w:sz w:val="20"/>
          <w:szCs w:val="20"/>
          <w:color w:val="auto"/>
        </w:rPr>
      </w:pPr>
    </w:p>
    <w:p>
      <w:pPr>
        <w:ind w:left="977"/>
        <w:spacing w:after="0"/>
        <w:rPr>
          <w:sz w:val="20"/>
          <w:szCs w:val="20"/>
          <w:color w:val="auto"/>
        </w:rPr>
      </w:pPr>
      <w:r>
        <w:rPr>
          <w:rFonts w:ascii="Times New Roman" w:cs="Times New Roman" w:eastAsia="Times New Roman" w:hAnsi="Times New Roman"/>
          <w:sz w:val="16"/>
          <w:szCs w:val="16"/>
          <w:color w:val="auto"/>
        </w:rPr>
        <w:t>The calculation of the Incentive Fee for each calendar quarter is as follows:</w:t>
      </w:r>
    </w:p>
    <w:p>
      <w:pPr>
        <w:spacing w:after="0" w:line="127" w:lineRule="exact"/>
        <w:rPr>
          <w:sz w:val="20"/>
          <w:szCs w:val="20"/>
          <w:color w:val="auto"/>
        </w:rPr>
      </w:pPr>
    </w:p>
    <w:p>
      <w:pPr>
        <w:ind w:left="1617" w:right="100" w:hanging="645"/>
        <w:spacing w:after="0" w:line="280" w:lineRule="auto"/>
        <w:tabs>
          <w:tab w:leader="none" w:pos="161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Incentive Fee is payable to CGCIM if the Fund’s pre-incentive fee net investment income, expressed as a percentage of the Fund’s net assets in respect of the relevant calendar quarter, does not exceed the quarterly hurdle rate of 2.00%;</w:t>
      </w:r>
    </w:p>
    <w:p>
      <w:pPr>
        <w:spacing w:after="0" w:line="56" w:lineRule="exact"/>
        <w:rPr>
          <w:rFonts w:ascii="Times New Roman" w:cs="Times New Roman" w:eastAsia="Times New Roman" w:hAnsi="Times New Roman"/>
          <w:sz w:val="16"/>
          <w:szCs w:val="16"/>
          <w:color w:val="auto"/>
        </w:rPr>
      </w:pPr>
    </w:p>
    <w:p>
      <w:pPr>
        <w:ind w:left="1617" w:hanging="645"/>
        <w:spacing w:after="0" w:line="260" w:lineRule="auto"/>
        <w:tabs>
          <w:tab w:leader="none" w:pos="161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portion of the Fund’s pre-incentive fee net investment income that exceeds the hurdle rate but is less than or equal to 2.4242% (the “catch-up”) is payable to CGCIM if the Fund’s pre-incentive fee net investment income, expressed as a percentage of the Fund’s net assets in respect of the relevant calendar quarter, exceeds the hurdle rate but is less than or equal to 2.4242% (9.6968% annualized). The “catch-up” provision is intended to provide CGCIM with an incentive fee of 17.5% on all of the Fund’s pre-incentive fee net investment income when the Fund’s pre-incentive fee net investment income reaches 2.4242% of net assets; and</w:t>
      </w:r>
    </w:p>
    <w:p>
      <w:pPr>
        <w:spacing w:after="0" w:line="366"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557"/>
          </w:cols>
          <w:pgMar w:left="1003" w:top="1440" w:right="1339" w:bottom="1440" w:gutter="0" w:footer="0" w:header="0"/>
        </w:sectPr>
      </w:pPr>
    </w:p>
    <w:bookmarkStart w:id="10" w:name="page11"/>
    <w:bookmarkEnd w:id="10"/>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617" w:right="320" w:hanging="645"/>
        <w:spacing w:after="0" w:line="263" w:lineRule="auto"/>
        <w:tabs>
          <w:tab w:leader="none" w:pos="161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17.5% of the portion of the Fund’s pre-incentive fee net investment income that exceeds the “catch-up” is payable to CGCIM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CGCIM.</w:t>
      </w:r>
    </w:p>
    <w:p>
      <w:pPr>
        <w:spacing w:after="0" w:line="71" w:lineRule="exact"/>
        <w:rPr>
          <w:rFonts w:ascii="Times New Roman" w:cs="Times New Roman" w:eastAsia="Times New Roman" w:hAnsi="Times New Roman"/>
          <w:sz w:val="16"/>
          <w:szCs w:val="16"/>
          <w:color w:val="auto"/>
        </w:rPr>
      </w:pPr>
    </w:p>
    <w:p>
      <w:pPr>
        <w:ind w:left="317" w:hanging="317"/>
        <w:spacing w:after="0" w:line="260" w:lineRule="auto"/>
        <w:tabs>
          <w:tab w:leader="none" w:pos="31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Fund may issue preferred shares or debt securities. The above figure assumes an aggregate of $3.5 million of the Fund’s Series B Convertible Preferred Shares with an interest rate of 7.125% per annum, $30.0 million of the Fund’s Series D Term Preferred Shares with an interest rate of 7.375%, and $17.5 million of the Fund’s Series E Convertible Preferred Shares with an interest rate of 7.25%. In the event that the Fund were to issue additional preferred shares or debt securities, the Fund’s borrowing costs, and correspondingly its total annual expenses, including, in the case of such preferred shares, the base management fee as a percentage of the Fund’s net assets attributable to common shares, would increase.</w:t>
      </w:r>
    </w:p>
    <w:p>
      <w:pPr>
        <w:spacing w:after="0" w:line="73" w:lineRule="exact"/>
        <w:rPr>
          <w:rFonts w:ascii="Times New Roman" w:cs="Times New Roman" w:eastAsia="Times New Roman" w:hAnsi="Times New Roman"/>
          <w:sz w:val="13"/>
          <w:szCs w:val="13"/>
          <w:color w:val="auto"/>
        </w:rPr>
      </w:pPr>
    </w:p>
    <w:p>
      <w:pPr>
        <w:ind w:left="317" w:right="80" w:hanging="317"/>
        <w:spacing w:after="0" w:line="263" w:lineRule="auto"/>
        <w:tabs>
          <w:tab w:leader="none" w:pos="317"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“Other expenses” includes the Fund’s overhead expenses, including payments under the Administration Agreement based on the Fund’s allocable portion of overhead and other expenses incurred by Administrator, and payment of fees in connection with outsourced administrative functions, and are based on estimated amounts for the current fiscal year. “Other expenses” also includes the ongoing administrative expenses to the independent accountants and legal counsel of the Fund, compensation of independent directors, and costs and expenses relating to rating agencies.</w:t>
      </w:r>
    </w:p>
    <w:p>
      <w:pPr>
        <w:spacing w:after="0" w:line="391" w:lineRule="exact"/>
        <w:rPr>
          <w:sz w:val="20"/>
          <w:szCs w:val="20"/>
          <w:color w:val="auto"/>
        </w:rPr>
      </w:pPr>
    </w:p>
    <w:p>
      <w:pPr>
        <w:ind w:left="317"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examples illustrate the hypothetical expenses that would be paid on a $1,000 investment assuming annual expenses attributable to common shares remain unchanged and common shares earn a 5% annual return:</w:t>
      </w:r>
    </w:p>
    <w:p>
      <w:pPr>
        <w:spacing w:after="0" w:line="185" w:lineRule="exact"/>
        <w:rPr>
          <w:sz w:val="20"/>
          <w:szCs w:val="20"/>
          <w:color w:val="auto"/>
        </w:rPr>
      </w:pPr>
    </w:p>
    <w:tbl>
      <w:tblPr>
        <w:tblLayout w:type="fixed"/>
        <w:tblInd w:w="317" w:type="dxa"/>
        <w:tblCellMar>
          <w:top w:w="0" w:type="dxa"/>
          <w:left w:w="0" w:type="dxa"/>
          <w:bottom w:w="0" w:type="dxa"/>
          <w:right w:w="0" w:type="dxa"/>
        </w:tblCellMar>
      </w:tblPr>
      <w:tr>
        <w:trPr>
          <w:trHeight w:val="184"/>
        </w:trPr>
        <w:tc>
          <w:tcPr>
            <w:tcW w:w="42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Example</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3 Years</w:t>
            </w:r>
          </w:p>
        </w:tc>
        <w:tc>
          <w:tcPr>
            <w:tcW w:w="5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5 Years</w:t>
            </w:r>
          </w:p>
        </w:tc>
        <w:tc>
          <w:tcPr>
            <w:tcW w:w="240" w:type="dxa"/>
            <w:vAlign w:val="bottom"/>
          </w:tcPr>
          <w:p>
            <w:pPr>
              <w:spacing w:after="0"/>
              <w:rPr>
                <w:sz w:val="16"/>
                <w:szCs w:val="16"/>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10 Years</w:t>
            </w:r>
          </w:p>
        </w:tc>
        <w:tc>
          <w:tcPr>
            <w:tcW w:w="0" w:type="dxa"/>
            <w:vAlign w:val="bottom"/>
          </w:tcPr>
          <w:p>
            <w:pPr>
              <w:spacing w:after="0"/>
              <w:rPr>
                <w:sz w:val="1"/>
                <w:szCs w:val="1"/>
                <w:color w:val="auto"/>
              </w:rPr>
            </w:pPr>
          </w:p>
        </w:tc>
      </w:tr>
      <w:tr>
        <w:trPr>
          <w:trHeight w:val="183"/>
        </w:trPr>
        <w:tc>
          <w:tcPr>
            <w:tcW w:w="4260" w:type="dxa"/>
            <w:vAlign w:val="bottom"/>
            <w:tcBorders>
              <w:top w:val="single" w:sz="8" w:color="CCEEFF"/>
            </w:tcBorders>
            <w:shd w:val="clear" w:color="auto" w:fill="CCEEFF"/>
          </w:tcPr>
          <w:p>
            <w:pPr>
              <w:ind w:left="400"/>
              <w:spacing w:after="0" w:line="182" w:lineRule="exact"/>
              <w:rPr>
                <w:sz w:val="20"/>
                <w:szCs w:val="20"/>
                <w:color w:val="auto"/>
              </w:rPr>
            </w:pPr>
            <w:r>
              <w:rPr>
                <w:rFonts w:ascii="Times New Roman" w:cs="Times New Roman" w:eastAsia="Times New Roman" w:hAnsi="Times New Roman"/>
                <w:sz w:val="18"/>
                <w:szCs w:val="18"/>
                <w:color w:val="auto"/>
              </w:rPr>
              <w:t>Expenses on a $1,000 investment, assuming a 5%</w:t>
            </w:r>
          </w:p>
        </w:tc>
        <w:tc>
          <w:tcPr>
            <w:tcW w:w="280" w:type="dxa"/>
            <w:vAlign w:val="bottom"/>
            <w:tcBorders>
              <w:top w:val="single" w:sz="8" w:color="CCEEFF"/>
            </w:tcBorders>
            <w:vMerge w:val="restart"/>
            <w:shd w:val="clear" w:color="auto" w:fill="CCEEFF"/>
          </w:tcPr>
          <w:p>
            <w:pPr>
              <w:spacing w:after="0"/>
              <w:rPr>
                <w:sz w:val="15"/>
                <w:szCs w:val="15"/>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vMerge w:val="restart"/>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annual return</w:t>
            </w:r>
          </w:p>
        </w:tc>
        <w:tc>
          <w:tcPr>
            <w:tcW w:w="2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17" w:right="40"/>
        <w:spacing w:after="0" w:line="266" w:lineRule="auto"/>
        <w:rPr>
          <w:sz w:val="20"/>
          <w:szCs w:val="20"/>
          <w:color w:val="auto"/>
        </w:rPr>
      </w:pPr>
      <w:r>
        <w:rPr>
          <w:rFonts w:ascii="Times New Roman" w:cs="Times New Roman" w:eastAsia="Times New Roman" w:hAnsi="Times New Roman"/>
          <w:sz w:val="18"/>
          <w:szCs w:val="18"/>
          <w:color w:val="auto"/>
        </w:rPr>
        <w:t>The example and the expenses in the tables above should not be considered a representation of the Fund’s future expenses, and actual expenses may be greater or less than those shown. While the example assumes a 5.0% annual return, as required by the SEC, the Fund’s performance will vary and may result in a return greater or less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497"/>
          </w:cols>
          <w:pgMar w:left="1003" w:top="1440" w:right="1399" w:bottom="1440" w:gutter="0" w:footer="0" w:header="0"/>
        </w:sectPr>
      </w:pPr>
    </w:p>
    <w:bookmarkStart w:id="11" w:name="page12"/>
    <w:bookmarkEnd w:id="1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210"/>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at fair value (cost $174,665,811)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122,889,556</w:t>
            </w:r>
          </w:p>
        </w:tc>
        <w:tc>
          <w:tcPr>
            <w:tcW w:w="0" w:type="dxa"/>
            <w:vAlign w:val="bottom"/>
          </w:tcPr>
          <w:p>
            <w:pPr>
              <w:spacing w:after="0"/>
              <w:rPr>
                <w:sz w:val="1"/>
                <w:szCs w:val="1"/>
                <w:color w:val="auto"/>
              </w:rPr>
            </w:pPr>
          </w:p>
        </w:tc>
      </w:tr>
      <w:tr>
        <w:trPr>
          <w:trHeight w:val="229"/>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2,812,913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receivable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3,610,272</w:t>
            </w:r>
          </w:p>
        </w:tc>
        <w:tc>
          <w:tcPr>
            <w:tcW w:w="0" w:type="dxa"/>
            <w:vAlign w:val="bottom"/>
          </w:tcPr>
          <w:p>
            <w:pPr>
              <w:spacing w:after="0"/>
              <w:rPr>
                <w:sz w:val="1"/>
                <w:szCs w:val="1"/>
                <w:color w:val="auto"/>
              </w:rPr>
            </w:pPr>
          </w:p>
        </w:tc>
      </w:tr>
      <w:tr>
        <w:trPr>
          <w:trHeight w:val="229"/>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560,107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163,490</w:t>
            </w:r>
          </w:p>
        </w:tc>
        <w:tc>
          <w:tcPr>
            <w:tcW w:w="0" w:type="dxa"/>
            <w:vAlign w:val="bottom"/>
          </w:tcPr>
          <w:p>
            <w:pPr>
              <w:spacing w:after="0"/>
              <w:rPr>
                <w:sz w:val="1"/>
                <w:szCs w:val="1"/>
                <w:color w:val="auto"/>
              </w:rPr>
            </w:pPr>
          </w:p>
        </w:tc>
      </w:tr>
      <w:tr>
        <w:trPr>
          <w:trHeight w:val="209"/>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130,036,338</w:t>
            </w:r>
          </w:p>
        </w:tc>
        <w:tc>
          <w:tcPr>
            <w:tcW w:w="0" w:type="dxa"/>
            <w:vAlign w:val="bottom"/>
          </w:tcPr>
          <w:p>
            <w:pPr>
              <w:spacing w:after="0"/>
              <w:rPr>
                <w:sz w:val="1"/>
                <w:szCs w:val="1"/>
                <w:color w:val="auto"/>
              </w:rPr>
            </w:pPr>
          </w:p>
        </w:tc>
      </w:tr>
      <w:tr>
        <w:trPr>
          <w:trHeight w:val="493"/>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 (net of unamortized deferred issuance costs of $1,744,233) (Note 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49,272,767</w:t>
            </w:r>
          </w:p>
        </w:tc>
        <w:tc>
          <w:tcPr>
            <w:tcW w:w="0" w:type="dxa"/>
            <w:vAlign w:val="bottom"/>
          </w:tcPr>
          <w:p>
            <w:pPr>
              <w:spacing w:after="0"/>
              <w:rPr>
                <w:sz w:val="1"/>
                <w:szCs w:val="1"/>
                <w:color w:val="auto"/>
              </w:rPr>
            </w:pPr>
          </w:p>
        </w:tc>
      </w:tr>
      <w:tr>
        <w:trPr>
          <w:trHeight w:val="229"/>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Secured credit facility</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 payable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253,737</w:t>
            </w:r>
          </w:p>
        </w:tc>
        <w:tc>
          <w:tcPr>
            <w:tcW w:w="0" w:type="dxa"/>
            <w:vAlign w:val="bottom"/>
          </w:tcPr>
          <w:p>
            <w:pPr>
              <w:spacing w:after="0"/>
              <w:rPr>
                <w:sz w:val="1"/>
                <w:szCs w:val="1"/>
                <w:color w:val="auto"/>
              </w:rPr>
            </w:pPr>
          </w:p>
        </w:tc>
      </w:tr>
      <w:tr>
        <w:trPr>
          <w:trHeight w:val="229"/>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Management fee payable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393,621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Professional fees payable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309,736</w:t>
            </w:r>
          </w:p>
        </w:tc>
        <w:tc>
          <w:tcPr>
            <w:tcW w:w="0" w:type="dxa"/>
            <w:vAlign w:val="bottom"/>
          </w:tcPr>
          <w:p>
            <w:pPr>
              <w:spacing w:after="0"/>
              <w:rPr>
                <w:sz w:val="1"/>
                <w:szCs w:val="1"/>
                <w:color w:val="auto"/>
              </w:rPr>
            </w:pPr>
          </w:p>
        </w:tc>
      </w:tr>
      <w:tr>
        <w:trPr>
          <w:trHeight w:val="230"/>
        </w:trPr>
        <w:tc>
          <w:tcPr>
            <w:tcW w:w="7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payable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261,081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Administration and custodian fees payable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256,427</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439,495</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59,186,864</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tcBorders>
              <w:bottom w:val="single" w:sz="8" w:color="CCEEFF"/>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70,849,474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COMPOSITION OF NET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151,629,695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distributable earnings (losses)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(80,780,221)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70,849,474</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Common shares outstanding (no par value)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21,198,622</w:t>
            </w:r>
          </w:p>
        </w:tc>
        <w:tc>
          <w:tcPr>
            <w:tcW w:w="0" w:type="dxa"/>
            <w:vAlign w:val="bottom"/>
          </w:tcPr>
          <w:p>
            <w:pPr>
              <w:spacing w:after="0"/>
              <w:rPr>
                <w:sz w:val="1"/>
                <w:szCs w:val="1"/>
                <w:color w:val="auto"/>
              </w:rPr>
            </w:pPr>
          </w:p>
        </w:tc>
      </w:tr>
      <w:tr>
        <w:trPr>
          <w:trHeight w:val="207"/>
        </w:trPr>
        <w:tc>
          <w:tcPr>
            <w:tcW w:w="744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Net asset value per share of common stock</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139"/>
          </w:cols>
          <w:pgMar w:left="132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Issuer </w:t>
            </w:r>
            <w:r>
              <w:rPr>
                <w:rFonts w:ascii="Times New Roman" w:cs="Times New Roman" w:eastAsia="Times New Roman" w:hAnsi="Times New Roman"/>
                <w:sz w:val="18"/>
                <w:szCs w:val="18"/>
                <w:b w:val="1"/>
                <w:bCs w:val="1"/>
                <w:color w:val="auto"/>
                <w:vertAlign w:val="superscript"/>
              </w:rPr>
              <w:t>(1)(7)</w:t>
            </w:r>
          </w:p>
        </w:tc>
        <w:tc>
          <w:tcPr>
            <w:tcW w:w="28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Investment Description</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9"/>
                <w:szCs w:val="9"/>
                <w:b w:val="1"/>
                <w:bCs w:val="1"/>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6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9"/>
                <w:szCs w:val="9"/>
                <w:b w:val="1"/>
                <w:bCs w:val="1"/>
                <w:color w:val="auto"/>
              </w:rPr>
              <w:t>(2)</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CLO - Equity</w:t>
            </w:r>
            <w:r>
              <w:rPr>
                <w:rFonts w:ascii="Times New Roman" w:cs="Times New Roman" w:eastAsia="Times New Roman" w:hAnsi="Times New Roman"/>
                <w:sz w:val="9"/>
                <w:szCs w:val="9"/>
                <w:b w:val="1"/>
                <w:bCs w:val="1"/>
                <w:color w:val="auto"/>
              </w:rPr>
              <w:t>(4)(5)</w:t>
            </w:r>
          </w:p>
        </w:tc>
        <w:tc>
          <w:tcPr>
            <w:tcW w:w="2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522 Funding CLO 2021-7,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0.00%,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4,505,000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266,073</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27,030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4/23/2034)</w:t>
            </w:r>
            <w:r>
              <w:rPr>
                <w:rFonts w:ascii="Times New Roman" w:cs="Times New Roman" w:eastAsia="Times New Roman" w:hAnsi="Times New Roman"/>
                <w:sz w:val="9"/>
                <w:szCs w:val="9"/>
                <w:color w:val="auto"/>
              </w:rPr>
              <w:t>8</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AGL CLO 17,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9.76%,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5/6/2024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1,802,209</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805,166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1/21/2035)</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Aimco CLO 10,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8.27%,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11,071,800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5,860,213</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4,484,055</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7/22/2032)</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Aimco CLO 14,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4,543,138</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3,581,394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10/20/2038)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Allegro XVII,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13.70%,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5/07/2025</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1,488,932</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1,134,987</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7/25/2038)</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Apidos CLO XXV,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0.00%,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7/1/2025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1,769,368</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1,496,784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1/20/2037)</w:t>
            </w:r>
            <w:r>
              <w:rPr>
                <w:rFonts w:ascii="Times New Roman" w:cs="Times New Roman" w:eastAsia="Times New Roman" w:hAnsi="Times New Roman"/>
                <w:sz w:val="9"/>
                <w:szCs w:val="9"/>
                <w:color w:val="auto"/>
              </w:rPr>
              <w:t>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Apidos CLO XXXIII,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9.87%,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7/25/2024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12,053,371</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9,770,868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10/24/2034)</w:t>
            </w:r>
            <w:r>
              <w:rPr>
                <w:rFonts w:ascii="Times New Roman" w:cs="Times New Roman" w:eastAsia="Times New Roman" w:hAnsi="Times New Roman"/>
                <w:sz w:val="9"/>
                <w:szCs w:val="9"/>
                <w:color w:val="auto"/>
              </w:rPr>
              <w:t>6</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Apidos CLO XXXIX,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11.18%,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5/2/2024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7,058,000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4,477,670</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3,548,254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10/21/2038)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Ares LIX CLO,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18.85%,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4,125,084</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2,231,943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4/25/2034)</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Ares LV CLO,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11.40%,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8/19/2025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5,055,380</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3,330,010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10/15/2037)</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Ares LVI CLO,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14.14%,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2,726,273</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2,076,736</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1/25/2038)</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Ares LX CLO,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21.35%,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745,336</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461,279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7/18/2034)</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Ares LXXIV CLO,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11.22%,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7/23/2025</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3,141,285</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1,898,956</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10/15/2037)</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Audax CLO 12,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18.77%,</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3/03/2025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1,215,547</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1,123,208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4/22/2037)</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Ballyrock CLO 16,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12.36%,</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8/20/2024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3,206,398</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2,308,931</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7/20/2034)</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Ballyrock CLO 18,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9.68%,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1,844,252</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1,063,243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4/15/2038)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Barings CLO, Ltd. 2019-III</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15.31%,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7,695,466</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3,405,880</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2,122,282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1/20/2036)</w:t>
            </w:r>
            <w:r>
              <w:rPr>
                <w:rFonts w:ascii="Times New Roman" w:cs="Times New Roman" w:eastAsia="Times New Roman" w:hAnsi="Times New Roman"/>
                <w:sz w:val="9"/>
                <w:szCs w:val="9"/>
                <w:color w:val="auto"/>
              </w:rPr>
              <w:t>6</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Barings CLO, Ltd. 2021-I</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0.00%,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1,459,569</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760,407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4/25/2034)</w:t>
            </w:r>
            <w:r>
              <w:rPr>
                <w:rFonts w:ascii="Times New Roman" w:cs="Times New Roman" w:eastAsia="Times New Roman" w:hAnsi="Times New Roman"/>
                <w:sz w:val="9"/>
                <w:szCs w:val="9"/>
                <w:color w:val="auto"/>
              </w:rPr>
              <w:t>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Barings CLO, Ltd. 2025-I</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11.47%,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2/14/2025</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4,867,473</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3,781,959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4/20/2038)</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Barings CLO, Ltd. 2025-VIII</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14.24%,</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12/03/2025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2,859,120</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2,758,281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1/15/2039)</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Benefit Street Partners CLO XXIII,</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20.08%,</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5,995,262</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5,182,323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4/25/2034)</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Benefit Street Partners CLO</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8.88%,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12/17/2024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4,577,254</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3,361,870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XXXVIII,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1/25/2038)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Birch Grove CLO 3,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9.14%,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8,602,500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6,774,666</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4,376,618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1/19/2038)</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CIFC Funding 2020-II,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11.49%,</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2/11/2025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9,032,000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4,567,308</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3,470,369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10/20/2034)</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Elmwood CLO 17,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8.62%,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8/13/2025</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11,177,036</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9,262,543</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7/17/2037)</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Elmwood CLO VII,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5.36%,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7/17/2023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1,542,041</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827,546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1/17/2034)</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Empower CLO 2022-1,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9.46%,</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9/27/2024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7,233,696</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4,181,068</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10/20/2037)</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Galaxy XXII CLO,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6.31%,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12/15/2023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1,923,511</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986,151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4/16/2034)</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MidOcean Credit CLO XI,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14.23%,</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3,713,384</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2,275,269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CCEEFF"/>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1/18/2036)</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MidOcean Credit CLO XIV,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8.10%,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2/15/2024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4,299,873</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2,936,473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4/15/2037)</w:t>
            </w:r>
            <w:r>
              <w:rPr>
                <w:rFonts w:ascii="Times New Roman" w:cs="Times New Roman" w:eastAsia="Times New Roman" w:hAnsi="Times New Roman"/>
                <w:sz w:val="9"/>
                <w:szCs w:val="9"/>
                <w:color w:val="auto"/>
              </w:rPr>
              <w:t>6</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Neuberger Berman Loan Advisers</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12.45%,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11/1/2023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2,402,581</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1,298,962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CLO 41, Ltd.</w:t>
            </w: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4/15/2034)</w:t>
            </w:r>
          </w:p>
        </w:tc>
        <w:tc>
          <w:tcPr>
            <w:tcW w:w="9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Niagara Park CLO, Ltd.</w:t>
            </w: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Subordinated Notes (effective yield 15.25%,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12/1/2023</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7,850,000</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4,268,420</w:t>
            </w: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2,694,351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2260" w:type="dxa"/>
            <w:vAlign w:val="bottom"/>
            <w:vMerge w:val="continue"/>
          </w:tcPr>
          <w:p>
            <w:pPr>
              <w:spacing w:after="0"/>
              <w:rPr>
                <w:sz w:val="16"/>
                <w:szCs w:val="16"/>
                <w:color w:val="auto"/>
              </w:rPr>
            </w:pPr>
          </w:p>
        </w:tc>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1/17/2038)</w:t>
            </w:r>
          </w:p>
        </w:tc>
        <w:tc>
          <w:tcPr>
            <w:tcW w:w="9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080" w:top="495" w:right="1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480"/>
          </w:cols>
          <w:pgMar w:left="1080" w:top="495" w:right="1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Issuer </w:t>
            </w:r>
            <w:r>
              <w:rPr>
                <w:rFonts w:ascii="Times New Roman" w:cs="Times New Roman" w:eastAsia="Times New Roman" w:hAnsi="Times New Roman"/>
                <w:sz w:val="18"/>
                <w:szCs w:val="18"/>
                <w:b w:val="1"/>
                <w:bCs w:val="1"/>
                <w:color w:val="auto"/>
                <w:vertAlign w:val="superscript"/>
              </w:rPr>
              <w:t>(1)(7)</w:t>
            </w:r>
          </w:p>
        </w:tc>
        <w:tc>
          <w:tcPr>
            <w:tcW w:w="2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Investment Description</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3"/>
                <w:szCs w:val="13"/>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9"/>
                <w:szCs w:val="9"/>
                <w:b w:val="1"/>
                <w:bCs w:val="1"/>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20" w:type="dxa"/>
            <w:vAlign w:val="bottom"/>
            <w:tcBorders>
              <w:bottom w:val="single" w:sz="8" w:color="auto"/>
            </w:tcBorders>
            <w:vMerge w:val="continue"/>
          </w:tcPr>
          <w:p>
            <w:pPr>
              <w:spacing w:after="0"/>
              <w:rPr>
                <w:sz w:val="15"/>
                <w:szCs w:val="15"/>
                <w:color w:val="auto"/>
              </w:rPr>
            </w:pPr>
          </w:p>
        </w:tc>
        <w:tc>
          <w:tcPr>
            <w:tcW w:w="27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9"/>
                <w:szCs w:val="9"/>
                <w:b w:val="1"/>
                <w:bCs w:val="1"/>
                <w:color w:val="auto"/>
              </w:rPr>
              <w:t>(2)</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Niagara Park CLO, Ltd.</w:t>
            </w:r>
          </w:p>
        </w:tc>
        <w:tc>
          <w:tcPr>
            <w:tcW w:w="274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Subordinated Notes (effective yield 11.67%,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11/6/2024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79,398</w:t>
            </w: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77,177</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77,100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1/17/2038)</w:t>
            </w:r>
          </w:p>
        </w:tc>
        <w:tc>
          <w:tcPr>
            <w:tcW w:w="90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Oaktree CLO 2019-3,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11.96%,</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6/12/2025</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1,991,588</w:t>
            </w:r>
          </w:p>
        </w:tc>
        <w:tc>
          <w:tcPr>
            <w:tcW w:w="12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1,238,292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1/20/2038)</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OCP CLO 2015-9, Ltd.</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11.29%,</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12/6/2023</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21,847,700</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7,806,134</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5,399,162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1/15/2037)</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OCP CLO 2017-13,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7.18%,</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5/13/2025</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17,897,237</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5,818,714</w:t>
            </w:r>
          </w:p>
        </w:tc>
        <w:tc>
          <w:tcPr>
            <w:tcW w:w="12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4,508,360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11/26/2037)</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OHA Credit Partners XIII, Ltd.</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11.65%,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7/17/2023</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2,950,000</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1,668,496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1,143,912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10/21/2034)</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Riverbank Park CLO,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12.81%,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11/4/2025</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9,950,000</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7,583,726</w:t>
            </w:r>
          </w:p>
        </w:tc>
        <w:tc>
          <w:tcPr>
            <w:tcW w:w="12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5,621,025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1/25/2038)</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RR 12, Ltd.</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0.00%,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7/31/2024</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8,542,000</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1,457,461</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983,474</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1/15/2036)</w:t>
            </w:r>
            <w:r>
              <w:rPr>
                <w:rFonts w:ascii="Times New Roman" w:cs="Times New Roman" w:eastAsia="Times New Roman" w:hAnsi="Times New Roman"/>
                <w:sz w:val="9"/>
                <w:szCs w:val="9"/>
                <w:color w:val="auto"/>
              </w:rPr>
              <w:t>8</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RR 6,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0.00%,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4/25/2024</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2,206,250</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708,449</w:t>
            </w:r>
          </w:p>
        </w:tc>
        <w:tc>
          <w:tcPr>
            <w:tcW w:w="12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144,055</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4/15/2036)</w:t>
            </w:r>
            <w:r>
              <w:rPr>
                <w:rFonts w:ascii="Times New Roman" w:cs="Times New Roman" w:eastAsia="Times New Roman" w:hAnsi="Times New Roman"/>
                <w:sz w:val="9"/>
                <w:szCs w:val="9"/>
                <w:color w:val="auto"/>
              </w:rPr>
              <w:t>8</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Silver Point CLO 4, Ltd.</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14.64%,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2/28/2025</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7,140,000</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4,480,506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1,843,769</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4/15/2037)</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Voya CLO 2020-2,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11.22%,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8/02/2023</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13,597,500</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9,740,815</w:t>
            </w:r>
          </w:p>
        </w:tc>
        <w:tc>
          <w:tcPr>
            <w:tcW w:w="12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7,235,149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7/19/2034)</w:t>
            </w: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Voya CLO 2020-3, Ltd.</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Subordinated Notes (effective yield 10.62%,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8/3/2023</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5,798,000</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3,710,656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2,673,436</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9"/>
        </w:trPr>
        <w:tc>
          <w:tcPr>
            <w:tcW w:w="2320" w:type="dxa"/>
            <w:vAlign w:val="bottom"/>
            <w:vMerge w:val="continue"/>
            <w:shd w:val="clear" w:color="auto" w:fill="CCEEFF"/>
          </w:tcPr>
          <w:p>
            <w:pPr>
              <w:spacing w:after="0"/>
              <w:rPr>
                <w:sz w:val="16"/>
                <w:szCs w:val="16"/>
                <w:color w:val="auto"/>
              </w:rPr>
            </w:pP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1/20/2038)</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CLO Equity</w:t>
            </w:r>
          </w:p>
        </w:tc>
        <w:tc>
          <w:tcPr>
            <w:tcW w:w="27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$170,431,325</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120,487,050</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170.06 %</w:t>
            </w: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CLO - Debt</w:t>
            </w:r>
            <w:r>
              <w:rPr>
                <w:rFonts w:ascii="Times New Roman" w:cs="Times New Roman" w:eastAsia="Times New Roman" w:hAnsi="Times New Roman"/>
                <w:sz w:val="9"/>
                <w:szCs w:val="9"/>
                <w:b w:val="1"/>
                <w:bCs w:val="1"/>
                <w:color w:val="auto"/>
              </w:rPr>
              <w:t>(4)</w:t>
            </w:r>
          </w:p>
        </w:tc>
        <w:tc>
          <w:tcPr>
            <w:tcW w:w="2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Apidos CLO XXXIII, Ltd.</w:t>
            </w:r>
          </w:p>
        </w:tc>
        <w:tc>
          <w:tcPr>
            <w:tcW w:w="2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12.22% (3M Term SOFR + 8.55%,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4/23/2025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230,607</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227,506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vMerge w:val="continue"/>
          </w:tcPr>
          <w:p>
            <w:pPr>
              <w:spacing w:after="0"/>
              <w:rPr>
                <w:sz w:val="15"/>
                <w:szCs w:val="15"/>
                <w:color w:val="auto"/>
              </w:rPr>
            </w:pPr>
          </w:p>
        </w:tc>
        <w:tc>
          <w:tcPr>
            <w:tcW w:w="2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4/24/2038)</w:t>
            </w:r>
          </w:p>
        </w:tc>
        <w:tc>
          <w:tcPr>
            <w:tcW w:w="9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CLO Debt</w:t>
            </w:r>
          </w:p>
        </w:tc>
        <w:tc>
          <w:tcPr>
            <w:tcW w:w="2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230,607</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227,506</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0.32 %</w:t>
            </w:r>
          </w:p>
        </w:tc>
        <w:tc>
          <w:tcPr>
            <w:tcW w:w="0" w:type="dxa"/>
            <w:vAlign w:val="bottom"/>
          </w:tcPr>
          <w:p>
            <w:pPr>
              <w:spacing w:after="0"/>
              <w:rPr>
                <w:sz w:val="1"/>
                <w:szCs w:val="1"/>
                <w:color w:val="auto"/>
              </w:rPr>
            </w:pPr>
          </w:p>
        </w:tc>
      </w:tr>
      <w:tr>
        <w:trPr>
          <w:trHeight w:val="191"/>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r>
              <w:rPr>
                <w:rFonts w:ascii="Times New Roman" w:cs="Times New Roman" w:eastAsia="Times New Roman" w:hAnsi="Times New Roman"/>
                <w:sz w:val="9"/>
                <w:szCs w:val="9"/>
                <w:b w:val="1"/>
                <w:bCs w:val="1"/>
                <w:color w:val="auto"/>
              </w:rPr>
              <w:t>(9)</w:t>
            </w:r>
          </w:p>
        </w:tc>
        <w:tc>
          <w:tcPr>
            <w:tcW w:w="2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Moores Crossing - Travis County, TX</w:t>
            </w:r>
          </w:p>
        </w:tc>
        <w:tc>
          <w:tcPr>
            <w:tcW w:w="2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4,003,879</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2,175,000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1"/>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Real Estate</w:t>
            </w:r>
          </w:p>
        </w:tc>
        <w:tc>
          <w:tcPr>
            <w:tcW w:w="27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4,003,879</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2,175,000</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3.07 %</w:t>
            </w: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7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$174,665,811</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122,889,556</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173.45 %</w:t>
            </w: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City National Bank MMDA</w:t>
            </w:r>
          </w:p>
        </w:tc>
        <w:tc>
          <w:tcPr>
            <w:tcW w:w="2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Money Market Deposit Account</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2,037,879</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2,037,879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2,037,879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1"/>
        </w:trPr>
        <w:tc>
          <w:tcPr>
            <w:tcW w:w="2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U.S. Bank MMDA</w:t>
            </w:r>
          </w:p>
        </w:tc>
        <w:tc>
          <w:tcPr>
            <w:tcW w:w="2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Money Market Deposit Account</w:t>
            </w: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775,034</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775,034</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775,034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63"/>
        </w:trPr>
        <w:tc>
          <w:tcPr>
            <w:tcW w:w="2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27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2,812,913</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2,812,913</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3.97 %</w:t>
            </w:r>
          </w:p>
        </w:tc>
        <w:tc>
          <w:tcPr>
            <w:tcW w:w="0" w:type="dxa"/>
            <w:vAlign w:val="bottom"/>
          </w:tcPr>
          <w:p>
            <w:pPr>
              <w:spacing w:after="0"/>
              <w:rPr>
                <w:sz w:val="1"/>
                <w:szCs w:val="1"/>
                <w:color w:val="auto"/>
              </w:rPr>
            </w:pPr>
          </w:p>
        </w:tc>
      </w:tr>
      <w:tr>
        <w:trPr>
          <w:trHeight w:val="160"/>
        </w:trPr>
        <w:tc>
          <w:tcPr>
            <w:tcW w:w="2320" w:type="dxa"/>
            <w:vAlign w:val="bottom"/>
            <w:tcBorders>
              <w:bottom w:val="single" w:sz="8" w:color="CCEEFF"/>
            </w:tcBorders>
          </w:tcPr>
          <w:p>
            <w:pPr>
              <w:spacing w:after="0"/>
              <w:rPr>
                <w:sz w:val="13"/>
                <w:szCs w:val="13"/>
                <w:color w:val="auto"/>
              </w:rPr>
            </w:pPr>
          </w:p>
        </w:tc>
        <w:tc>
          <w:tcPr>
            <w:tcW w:w="27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and Cash</w:t>
            </w:r>
          </w:p>
        </w:tc>
        <w:tc>
          <w:tcPr>
            <w:tcW w:w="2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$177,478,724</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125,702,469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177.42 %</w:t>
            </w:r>
          </w:p>
        </w:tc>
        <w:tc>
          <w:tcPr>
            <w:tcW w:w="0" w:type="dxa"/>
            <w:vAlign w:val="bottom"/>
          </w:tcPr>
          <w:p>
            <w:pPr>
              <w:spacing w:after="0"/>
              <w:rPr>
                <w:sz w:val="1"/>
                <w:szCs w:val="1"/>
                <w:color w:val="auto"/>
              </w:rPr>
            </w:pPr>
          </w:p>
        </w:tc>
      </w:tr>
      <w:tr>
        <w:trPr>
          <w:trHeight w:val="182"/>
        </w:trPr>
        <w:tc>
          <w:tcPr>
            <w:tcW w:w="2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7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20" w:hanging="236"/>
        <w:spacing w:after="0" w:line="261" w:lineRule="auto"/>
        <w:tabs>
          <w:tab w:leader="none" w:pos="2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Fund is not affiliated with, nor does it "control" (as such term is defined in the Investment Company Act of 1940 (the "1940 Act")) any of the issuers listed. In general, under the 1940 Act, the Fund would be presumed to "control" an issuer if it owned 25% or more of its voting securities.</w:t>
      </w:r>
    </w:p>
    <w:p>
      <w:pPr>
        <w:spacing w:after="0" w:line="1" w:lineRule="exact"/>
        <w:rPr>
          <w:rFonts w:ascii="Times New Roman" w:cs="Times New Roman" w:eastAsia="Times New Roman" w:hAnsi="Times New Roman"/>
          <w:sz w:val="14"/>
          <w:szCs w:val="14"/>
          <w:color w:val="auto"/>
        </w:rPr>
      </w:pPr>
    </w:p>
    <w:p>
      <w:pPr>
        <w:ind w:left="240" w:right="540" w:hanging="236"/>
        <w:spacing w:after="0" w:line="253" w:lineRule="auto"/>
        <w:tabs>
          <w:tab w:leader="none" w:pos="2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Acquisition date represents the initial date of purchase or the date the investment was contributed to the Fund at the time of the Fund's formation.</w:t>
      </w:r>
    </w:p>
    <w:p>
      <w:pPr>
        <w:ind w:left="240" w:right="200" w:hanging="236"/>
        <w:spacing w:after="0" w:line="255" w:lineRule="auto"/>
        <w:tabs>
          <w:tab w:leader="none" w:pos="2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Fair value is determined by the Adviser in accordance with the written valuation policies and procedures, subject to oversight by the Fund's Board of Trustees, in accordance with Rule 2a-5 under the 1940 Act.</w:t>
      </w:r>
    </w:p>
    <w:p>
      <w:pPr>
        <w:ind w:left="240" w:hanging="236"/>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Securities exempt from registration under the Securities Act of 1933, and are deemed to be "restricted securities." As of March 31, 2026, the</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aggregate fair value of these securities is $120,714,556, or 170.38% of the Fund's net assets.</w:t>
      </w:r>
    </w:p>
    <w:p>
      <w:pPr>
        <w:spacing w:after="0" w:line="15" w:lineRule="exact"/>
        <w:rPr>
          <w:sz w:val="20"/>
          <w:szCs w:val="20"/>
          <w:color w:val="auto"/>
        </w:rPr>
      </w:pPr>
    </w:p>
    <w:p>
      <w:pPr>
        <w:ind w:left="240" w:right="20" w:hanging="242"/>
        <w:spacing w:after="0" w:line="253" w:lineRule="auto"/>
        <w:rPr>
          <w:sz w:val="20"/>
          <w:szCs w:val="20"/>
          <w:color w:val="auto"/>
        </w:rPr>
      </w:pPr>
      <w:r>
        <w:rPr>
          <w:rFonts w:ascii="Times New Roman" w:cs="Times New Roman" w:eastAsia="Times New Roman" w:hAnsi="Times New Roman"/>
          <w:sz w:val="14"/>
          <w:szCs w:val="14"/>
          <w:color w:val="auto"/>
        </w:rPr>
        <w:t>(5</w:t>
      </w:r>
      <w:r>
        <w:rPr>
          <w:rFonts w:ascii="Times New Roman" w:cs="Times New Roman" w:eastAsia="Times New Roman" w:hAnsi="Times New Roman"/>
          <w:sz w:val="16"/>
          <w:szCs w:val="16"/>
          <w:color w:val="auto"/>
        </w:rPr>
        <w:t>) CLO subordinated notes and subordinated fee notes are considered CLO equity positions. CLO equity positions are entitled to recurring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distributions which are generally equal to the remaining cash flow of payments made by underlying assets less contractual payments to debt holders and fund expenses. The effective yield is estimated based upon the current projection of the amount and timing of these recurring distributions in addition to the estimated amount of terminal principal payment. It is the Fund's policy to calculate the effective yield for each CLO equity position held within the Fund's portfolio at the initiation of each investment and to update it each subsequent quarter thereafter. The effective yield and investment cost may ultimately not be realized. As of March 31, 2026, the Fund's weighted average effective yield on its aggregate CLO equity positions, based on current amortized cost, was 11.06%. When excluding called CLOs, the Fund’s weighted average effective yield on its CLO equity positions was 11.44%.</w:t>
      </w:r>
    </w:p>
    <w:p>
      <w:pPr>
        <w:spacing w:after="0" w:line="1" w:lineRule="exact"/>
        <w:rPr>
          <w:sz w:val="20"/>
          <w:szCs w:val="20"/>
          <w:color w:val="auto"/>
        </w:rPr>
      </w:pPr>
    </w:p>
    <w:p>
      <w:pPr>
        <w:ind w:left="240" w:hanging="236"/>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Fair value includes the Fund’s interests in fee rebates on the CLO subordinated notes.</w:t>
      </w:r>
    </w:p>
    <w:p>
      <w:pPr>
        <w:spacing w:after="0" w:line="8"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fair value of the investment was determined using significant unobservable inputs. See “Note 3. Fair Value Measurements.”</w:t>
      </w:r>
    </w:p>
    <w:p>
      <w:pPr>
        <w:sectPr>
          <w:pgSz w:w="11900" w:h="16838" w:orient="portrait"/>
          <w:cols w:equalWidth="0" w:num="1">
            <w:col w:w="9480"/>
          </w:cols>
          <w:pgMar w:left="1080" w:top="49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480"/>
          </w:cols>
          <w:pgMar w:left="1080" w:top="495" w:right="1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103" w:lineRule="exact"/>
        <w:rPr>
          <w:sz w:val="20"/>
          <w:szCs w:val="20"/>
          <w:color w:val="auto"/>
        </w:rPr>
      </w:pPr>
    </w:p>
    <w:p>
      <w:pPr>
        <w:ind w:left="240" w:hanging="236"/>
        <w:spacing w:after="0" w:line="260" w:lineRule="auto"/>
        <w:tabs>
          <w:tab w:leader="none" w:pos="2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As of March 31, 2026, the investment has been called. Expected value of residual distributions, once received, is anticipated to be recognized as return of capital, pending any remaining amortized cost, and/or realized gain for any amounts received in excess of such amortized cost.</w:t>
      </w:r>
    </w:p>
    <w:p>
      <w:pPr>
        <w:ind w:left="240" w:right="60" w:hanging="236"/>
        <w:spacing w:after="0" w:line="270" w:lineRule="auto"/>
        <w:tabs>
          <w:tab w:leader="none" w:pos="2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Fund inherited a non-income producing defaulted real estate loan from VCIF that was not included in the legacy portfolio sale. Pursuant to a deed-in-lieu of foreclosure on August 10, 2023, the Fund has ownership of the real estate.</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ectPr>
          <w:pgSz w:w="11900" w:h="16838" w:orient="portrait"/>
          <w:cols w:equalWidth="0" w:num="1">
            <w:col w:w="9420"/>
          </w:cols>
          <w:pgMar w:left="1080" w:top="495"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420"/>
          </w:cols>
          <w:pgMar w:left="1080" w:top="495" w:right="1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89"/>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196"/>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12,661,704</w:t>
            </w:r>
          </w:p>
        </w:tc>
      </w:tr>
      <w:tr>
        <w:trPr>
          <w:trHeight w:val="196"/>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12,661,704</w:t>
            </w:r>
          </w:p>
        </w:tc>
      </w:tr>
      <w:tr>
        <w:trPr>
          <w:trHeight w:val="250"/>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5,539,868</w:t>
            </w:r>
          </w:p>
        </w:tc>
      </w:tr>
      <w:tr>
        <w:trPr>
          <w:trHeight w:val="216"/>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Management fees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1,572,708</w:t>
            </w:r>
          </w:p>
        </w:tc>
      </w:tr>
      <w:tr>
        <w:trPr>
          <w:trHeight w:val="21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253,737</w:t>
            </w:r>
          </w:p>
        </w:tc>
      </w:tr>
      <w:tr>
        <w:trPr>
          <w:trHeight w:val="230"/>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659,687</w:t>
            </w:r>
          </w:p>
        </w:tc>
      </w:tr>
      <w:tr>
        <w:trPr>
          <w:trHeight w:val="229"/>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Administration and custodian fees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331,722</w:t>
            </w:r>
          </w:p>
        </w:tc>
      </w:tr>
      <w:tr>
        <w:trPr>
          <w:trHeight w:val="230"/>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Insurance expense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119,173</w:t>
            </w:r>
          </w:p>
        </w:tc>
      </w:tr>
      <w:tr>
        <w:trPr>
          <w:trHeight w:val="229"/>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Printing expense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85,565</w:t>
            </w:r>
          </w:p>
        </w:tc>
      </w:tr>
      <w:tr>
        <w:trPr>
          <w:trHeight w:val="229"/>
        </w:trPr>
        <w:tc>
          <w:tcPr>
            <w:tcW w:w="7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Transfer agent fees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89,255</w:t>
            </w:r>
          </w:p>
        </w:tc>
      </w:tr>
      <w:tr>
        <w:trPr>
          <w:trHeight w:val="23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Trustees' fees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62,329</w:t>
            </w:r>
          </w:p>
        </w:tc>
      </w:tr>
      <w:tr>
        <w:trPr>
          <w:trHeight w:val="216"/>
        </w:trPr>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58,757</w:t>
            </w:r>
          </w:p>
        </w:tc>
      </w:tr>
      <w:tr>
        <w:trPr>
          <w:trHeight w:val="196"/>
        </w:trPr>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8,772,801</w:t>
            </w:r>
          </w:p>
        </w:tc>
      </w:tr>
      <w:tr>
        <w:trPr>
          <w:trHeight w:val="209"/>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3,888,903</w:t>
            </w:r>
          </w:p>
        </w:tc>
      </w:tr>
      <w:tr>
        <w:trPr>
          <w:trHeight w:val="264"/>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Realized and Unrealized Gain (Loss)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6"/>
        </w:trPr>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(12,835,266)</w:t>
            </w:r>
          </w:p>
        </w:tc>
      </w:tr>
      <w:tr>
        <w:trPr>
          <w:trHeight w:val="229"/>
        </w:trPr>
        <w:tc>
          <w:tcPr>
            <w:tcW w:w="7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(37,716,591)</w:t>
            </w:r>
          </w:p>
        </w:tc>
      </w:tr>
      <w:tr>
        <w:trPr>
          <w:trHeight w:val="196"/>
        </w:trPr>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Net Realized and Unrealized Gain (Loss)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(50,551,857)</w:t>
            </w:r>
          </w:p>
        </w:tc>
      </w:tr>
      <w:tr>
        <w:trPr>
          <w:trHeight w:val="196"/>
        </w:trPr>
        <w:tc>
          <w:tcPr>
            <w:tcW w:w="7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4"/>
        </w:trPr>
        <w:tc>
          <w:tcPr>
            <w:tcW w:w="730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Net Decrease in Net Assets Attributable to Common Shares from Operations</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(46,662,954)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See accompanying Notes to the Financial Statements.</w:t>
      </w:r>
    </w:p>
    <w:p>
      <w:pPr>
        <w:sectPr>
          <w:pgSz w:w="11900" w:h="16838" w:orient="portrait"/>
          <w:cols w:equalWidth="0" w:num="1">
            <w:col w:w="9139"/>
          </w:cols>
          <w:pgMar w:left="1320" w:top="11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139"/>
          </w:cols>
          <w:pgMar w:left="1320" w:top="118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(Unaudited)</w:t>
      </w:r>
    </w:p>
    <w:p>
      <w:pPr>
        <w:spacing w:after="0" w:line="9" w:lineRule="exact"/>
        <w:rPr>
          <w:sz w:val="20"/>
          <w:szCs w:val="20"/>
          <w:color w:val="auto"/>
        </w:rPr>
      </w:pPr>
    </w:p>
    <w:p>
      <w:pPr>
        <w:ind w:right="2580"/>
        <w:spacing w:after="0" w:line="260" w:lineRule="auto"/>
        <w:rPr>
          <w:sz w:val="20"/>
          <w:szCs w:val="20"/>
          <w:color w:val="auto"/>
        </w:rPr>
      </w:pPr>
      <w:r>
        <w:rPr>
          <w:rFonts w:ascii="Times New Roman" w:cs="Times New Roman" w:eastAsia="Times New Roman" w:hAnsi="Times New Roman"/>
          <w:sz w:val="18"/>
          <w:szCs w:val="18"/>
          <w:b w:val="1"/>
          <w:bCs w:val="1"/>
          <w:color w:val="auto"/>
        </w:rPr>
        <w:t>For the Six Months Ended March 31, 2026 and for the Year Ended September 30, 2025 (</w:t>
      </w:r>
      <w:r>
        <w:rPr>
          <w:rFonts w:ascii="Times New Roman" w:cs="Times New Roman" w:eastAsia="Times New Roman" w:hAnsi="Times New Roman"/>
          <w:sz w:val="18"/>
          <w:szCs w:val="18"/>
          <w:color w:val="auto"/>
        </w:rPr>
        <w:t>expressed in U.S. dollars)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6"/>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(decrease) in net assets from operations: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5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investment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3,888,903</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15,208,865</w:t>
            </w:r>
          </w:p>
        </w:tc>
      </w:tr>
      <w:tr>
        <w:trPr>
          <w:trHeight w:val="257"/>
        </w:trPr>
        <w:tc>
          <w:tcPr>
            <w:tcW w:w="6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realized gain (loss) on investment transactions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(12,835,266)</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(17,706,825)</w:t>
            </w:r>
          </w:p>
        </w:tc>
      </w:tr>
      <w:tr>
        <w:trPr>
          <w:trHeight w:val="229"/>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(37,716,591)</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(3,504,909)</w:t>
            </w:r>
          </w:p>
        </w:tc>
      </w:tr>
      <w:tr>
        <w:trPr>
          <w:trHeight w:val="237"/>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(46,662,954)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(6,002,869)</w:t>
            </w:r>
          </w:p>
        </w:tc>
      </w:tr>
      <w:tr>
        <w:trPr>
          <w:trHeight w:val="257"/>
        </w:trPr>
        <w:tc>
          <w:tcPr>
            <w:tcW w:w="6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Distributions to shareholders from:</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investment income</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(12,401,194)</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(10,363,754)</w:t>
            </w:r>
          </w:p>
        </w:tc>
      </w:tr>
      <w:tr>
        <w:trPr>
          <w:trHeight w:val="256"/>
        </w:trPr>
        <w:tc>
          <w:tcPr>
            <w:tcW w:w="6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Return of capital</w:t>
            </w:r>
          </w:p>
        </w:tc>
        <w:tc>
          <w:tcPr>
            <w:tcW w:w="16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(13,459,803)</w:t>
            </w:r>
          </w:p>
        </w:tc>
      </w:tr>
      <w:tr>
        <w:trPr>
          <w:trHeight w:val="237"/>
        </w:trPr>
        <w:tc>
          <w:tcPr>
            <w:tcW w:w="61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distributions to shareholders</w:t>
            </w:r>
          </w:p>
        </w:tc>
        <w:tc>
          <w:tcPr>
            <w:tcW w:w="1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(12,401,194)</w:t>
            </w: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(23,823,557)</w:t>
            </w:r>
          </w:p>
        </w:tc>
      </w:tr>
      <w:tr>
        <w:trPr>
          <w:trHeight w:val="257"/>
        </w:trPr>
        <w:tc>
          <w:tcPr>
            <w:tcW w:w="6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Capital share transactions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6"/>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(decrease) in net assets resulting from beneficial interest:</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40,303,512</w:t>
            </w:r>
          </w:p>
        </w:tc>
      </w:tr>
      <w:tr>
        <w:trPr>
          <w:trHeight w:val="257"/>
        </w:trPr>
        <w:tc>
          <w:tcPr>
            <w:tcW w:w="6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Reinvestment of dividends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1,823,533</w:t>
            </w:r>
          </w:p>
        </w:tc>
      </w:tr>
      <w:tr>
        <w:trPr>
          <w:trHeight w:val="210"/>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increase in net assets from capital share transactions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42,127,045</w:t>
            </w:r>
          </w:p>
        </w:tc>
      </w:tr>
      <w:tr>
        <w:trPr>
          <w:trHeight w:val="256"/>
        </w:trPr>
        <w:tc>
          <w:tcPr>
            <w:tcW w:w="6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increase (decrease) in net assets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(59,064,148)</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12,300,619</w:t>
            </w:r>
          </w:p>
        </w:tc>
      </w:tr>
      <w:tr>
        <w:trPr>
          <w:trHeight w:val="256"/>
        </w:trPr>
        <w:tc>
          <w:tcPr>
            <w:tcW w:w="6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assets at the beginning of the period</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129,913,622</w:t>
            </w: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117,613,003</w:t>
            </w:r>
          </w:p>
        </w:tc>
      </w:tr>
      <w:tr>
        <w:trPr>
          <w:trHeight w:val="235"/>
        </w:trPr>
        <w:tc>
          <w:tcPr>
            <w:tcW w:w="6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assets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70,849,474</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129,913,622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ectPr>
          <w:pgSz w:w="11900" w:h="16838" w:orient="portrait"/>
          <w:cols w:equalWidth="0" w:num="1">
            <w:col w:w="9240"/>
          </w:cols>
          <w:pgMar w:left="1320" w:top="1184"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40"/>
          </w:cols>
          <w:pgMar w:left="1320" w:top="1184" w:right="1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expressed in U.S. dollars)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(46,662,954)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decrease in net assets from operations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investments, net of change in payable for investments purchased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(14,513,070)</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disposition of investments and reductions to investment cost value, net of change in receivable</w:t>
            </w:r>
          </w:p>
        </w:tc>
        <w:tc>
          <w:tcPr>
            <w:tcW w:w="1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44,223,753</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for investments sold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amortization on investments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issuance costs on preferred shares and credit facility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2,716,605</w:t>
            </w: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12,835,266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depreciation on investments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37,716,591</w:t>
            </w:r>
          </w:p>
        </w:tc>
        <w:tc>
          <w:tcPr>
            <w:tcW w:w="0" w:type="dxa"/>
            <w:vAlign w:val="bottom"/>
          </w:tcPr>
          <w:p>
            <w:pPr>
              <w:spacing w:after="0"/>
              <w:rPr>
                <w:sz w:val="1"/>
                <w:szCs w:val="1"/>
                <w:color w:val="auto"/>
              </w:rPr>
            </w:pPr>
          </w:p>
        </w:tc>
      </w:tr>
      <w:tr>
        <w:trPr>
          <w:trHeight w:val="229"/>
        </w:trPr>
        <w:tc>
          <w:tcPr>
            <w:tcW w:w="75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Changes in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interest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2,582,483</w:t>
            </w:r>
          </w:p>
        </w:tc>
        <w:tc>
          <w:tcPr>
            <w:tcW w:w="0" w:type="dxa"/>
            <w:vAlign w:val="bottom"/>
          </w:tcPr>
          <w:p>
            <w:pPr>
              <w:spacing w:after="0"/>
              <w:rPr>
                <w:sz w:val="1"/>
                <w:szCs w:val="1"/>
                <w:color w:val="auto"/>
              </w:rPr>
            </w:pPr>
          </w:p>
        </w:tc>
      </w:tr>
      <w:tr>
        <w:trPr>
          <w:trHeight w:val="229"/>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Changes in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incentive fee payable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(417,006)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management fee payable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87,989</w:t>
            </w: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interest payable on preferred shares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(105,147)</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professional fees payable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(429,547)</w:t>
            </w: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administration and custodian fees payable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93,713</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other payables and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217,195</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38,464,711</w:t>
            </w:r>
          </w:p>
        </w:tc>
        <w:tc>
          <w:tcPr>
            <w:tcW w:w="0" w:type="dxa"/>
            <w:vAlign w:val="bottom"/>
          </w:tcPr>
          <w:p>
            <w:pPr>
              <w:spacing w:after="0"/>
              <w:rPr>
                <w:sz w:val="1"/>
                <w:szCs w:val="1"/>
                <w:color w:val="auto"/>
              </w:rPr>
            </w:pPr>
          </w:p>
        </w:tc>
      </w:tr>
      <w:tr>
        <w:trPr>
          <w:trHeight w:val="264"/>
        </w:trPr>
        <w:tc>
          <w:tcPr>
            <w:tcW w:w="7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 on credit facility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18,500,000</w:t>
            </w:r>
          </w:p>
        </w:tc>
        <w:tc>
          <w:tcPr>
            <w:tcW w:w="0" w:type="dxa"/>
            <w:vAlign w:val="bottom"/>
          </w:tcPr>
          <w:p>
            <w:pPr>
              <w:spacing w:after="0"/>
              <w:rPr>
                <w:sz w:val="1"/>
                <w:szCs w:val="1"/>
                <w:color w:val="auto"/>
              </w:rPr>
            </w:pPr>
          </w:p>
        </w:tc>
      </w:tr>
      <w:tr>
        <w:trPr>
          <w:trHeight w:val="23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on credit facility</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(17,250,000)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preferred shares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47,500,000</w:t>
            </w:r>
          </w:p>
        </w:tc>
        <w:tc>
          <w:tcPr>
            <w:tcW w:w="0" w:type="dxa"/>
            <w:vAlign w:val="bottom"/>
          </w:tcPr>
          <w:p>
            <w:pPr>
              <w:spacing w:after="0"/>
              <w:rPr>
                <w:sz w:val="1"/>
                <w:szCs w:val="1"/>
                <w:color w:val="auto"/>
              </w:rPr>
            </w:pPr>
          </w:p>
        </w:tc>
      </w:tr>
      <w:tr>
        <w:trPr>
          <w:trHeight w:val="229"/>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issuance costs for the issuance of preferred shares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(2,466,224)</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preferred shares redeemed, net of redemptions payable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(72,000,000)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(12,401,194)</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(38,117,418)</w:t>
            </w:r>
          </w:p>
        </w:tc>
        <w:tc>
          <w:tcPr>
            <w:tcW w:w="0" w:type="dxa"/>
            <w:vAlign w:val="bottom"/>
          </w:tcPr>
          <w:p>
            <w:pPr>
              <w:spacing w:after="0"/>
              <w:rPr>
                <w:sz w:val="1"/>
                <w:szCs w:val="1"/>
                <w:color w:val="auto"/>
              </w:rPr>
            </w:pPr>
          </w:p>
        </w:tc>
      </w:tr>
      <w:tr>
        <w:trPr>
          <w:trHeight w:val="209"/>
        </w:trPr>
        <w:tc>
          <w:tcPr>
            <w:tcW w:w="7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347,293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2,465,620</w:t>
            </w:r>
          </w:p>
        </w:tc>
        <w:tc>
          <w:tcPr>
            <w:tcW w:w="0" w:type="dxa"/>
            <w:vAlign w:val="bottom"/>
          </w:tcPr>
          <w:p>
            <w:pPr>
              <w:spacing w:after="0"/>
              <w:rPr>
                <w:sz w:val="1"/>
                <w:szCs w:val="1"/>
                <w:color w:val="auto"/>
              </w:rPr>
            </w:pPr>
          </w:p>
        </w:tc>
      </w:tr>
      <w:tr>
        <w:trPr>
          <w:trHeight w:val="183"/>
        </w:trPr>
        <w:tc>
          <w:tcPr>
            <w:tcW w:w="756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Cash and cash equivalents, end of period</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2,812,913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paid for interest on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2,770,675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60" w:right="240" w:hanging="253"/>
        <w:spacing w:after="0" w:line="272"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Proceeds from the disposition of investments and reductions to investment cost value includes $7,750,707 of return of capital on CLO equity investments from recurring cash flows and distributions from called deals and refinancings during the six month period ended March 31, 2026.</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ectPr>
          <w:pgSz w:w="11900" w:h="16838" w:orient="portrait"/>
          <w:cols w:equalWidth="0" w:num="1">
            <w:col w:w="9180"/>
          </w:cols>
          <w:pgMar w:left="1320" w:top="118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180"/>
          </w:cols>
          <w:pgMar w:left="1320" w:top="1184" w:right="1399" w:bottom="1440" w:gutter="0" w:footer="0" w:header="0"/>
          <w:type w:val="continuous"/>
        </w:sectPr>
      </w:pPr>
    </w:p>
    <w:bookmarkStart w:id="18" w:name="page19"/>
    <w:bookmarkEnd w:id="18"/>
    <w:p>
      <w:pPr>
        <w:ind w:left="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120" w:type="dxa"/>
            <w:vAlign w:val="bottom"/>
            <w:gridSpan w:val="3"/>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Ended March</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ind w:right="239"/>
              <w:spacing w:after="0" w:line="210"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1"/>
                <w:szCs w:val="21"/>
                <w:b w:val="1"/>
                <w:bCs w:val="1"/>
                <w:color w:val="auto"/>
                <w:vertAlign w:val="superscript"/>
              </w:rPr>
              <w:t>(7)</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31, 2026</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Per Share Operating Data</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asset value, beginning of period</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6.13</w:t>
            </w:r>
          </w:p>
        </w:tc>
        <w:tc>
          <w:tcPr>
            <w:tcW w:w="4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7.64</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6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10.39</w:t>
            </w:r>
          </w:p>
        </w:tc>
        <w:tc>
          <w:tcPr>
            <w:tcW w:w="6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from investment operations: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Net realized and unrealized gain (loss) </w:t>
            </w:r>
            <w:r>
              <w:rPr>
                <w:rFonts w:ascii="Times New Roman" w:cs="Times New Roman" w:eastAsia="Times New Roman" w:hAnsi="Times New Roman"/>
                <w:sz w:val="21"/>
                <w:szCs w:val="21"/>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(0.74)</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from investment operations</w:t>
            </w:r>
          </w:p>
        </w:tc>
        <w:tc>
          <w:tcPr>
            <w:tcW w:w="14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Dividends to shareholders from:</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Net realized gains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Return of capital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dividends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(0.82)</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Effect of shares issued</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asset value, end of period</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6.13</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7.64</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Per share market value at beginning of period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00" w:type="dxa"/>
            <w:vAlign w:val="bottom"/>
            <w:vMerge w:val="continue"/>
          </w:tcPr>
          <w:p>
            <w:pPr>
              <w:spacing w:after="0"/>
              <w:rPr>
                <w:sz w:val="13"/>
                <w:szCs w:val="13"/>
                <w:color w:val="auto"/>
              </w:rPr>
            </w:pPr>
          </w:p>
        </w:tc>
        <w:tc>
          <w:tcPr>
            <w:tcW w:w="140" w:type="dxa"/>
            <w:vAlign w:val="bottom"/>
            <w:tcBorders>
              <w:bottom w:val="single" w:sz="8" w:color="auto"/>
            </w:tcBorders>
          </w:tcPr>
          <w:p>
            <w:pPr>
              <w:ind w:left="40"/>
              <w:spacing w:after="0" w:line="15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line="150" w:lineRule="exact"/>
              <w:rPr>
                <w:sz w:val="20"/>
                <w:szCs w:val="20"/>
                <w:color w:val="auto"/>
              </w:rPr>
            </w:pPr>
            <w:r>
              <w:rPr>
                <w:rFonts w:ascii="Times New Roman" w:cs="Times New Roman" w:eastAsia="Times New Roman" w:hAnsi="Times New Roman"/>
                <w:sz w:val="16"/>
                <w:szCs w:val="16"/>
                <w:color w:val="auto"/>
              </w:rPr>
              <w:t>5.82</w:t>
            </w:r>
          </w:p>
        </w:tc>
        <w:tc>
          <w:tcPr>
            <w:tcW w:w="40" w:type="dxa"/>
            <w:vAlign w:val="bottom"/>
          </w:tcPr>
          <w:p>
            <w:pPr>
              <w:spacing w:after="0"/>
              <w:rPr>
                <w:sz w:val="13"/>
                <w:szCs w:val="13"/>
                <w:color w:val="auto"/>
              </w:rPr>
            </w:pPr>
          </w:p>
        </w:tc>
        <w:tc>
          <w:tcPr>
            <w:tcW w:w="240" w:type="dxa"/>
            <w:vAlign w:val="bottom"/>
            <w:tcBorders>
              <w:bottom w:val="single" w:sz="8" w:color="auto"/>
            </w:tcBorders>
          </w:tcPr>
          <w:p>
            <w:pPr>
              <w:jc w:val="right"/>
              <w:ind w:right="19"/>
              <w:spacing w:after="0" w:line="15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line="150" w:lineRule="exact"/>
              <w:rPr>
                <w:sz w:val="20"/>
                <w:szCs w:val="20"/>
                <w:color w:val="auto"/>
              </w:rPr>
            </w:pPr>
            <w:r>
              <w:rPr>
                <w:rFonts w:ascii="Times New Roman" w:cs="Times New Roman" w:eastAsia="Times New Roman" w:hAnsi="Times New Roman"/>
                <w:sz w:val="16"/>
                <w:szCs w:val="16"/>
                <w:color w:val="auto"/>
              </w:rPr>
              <w:t>8.23</w:t>
            </w: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19"/>
              <w:spacing w:after="0" w:line="150" w:lineRule="exact"/>
              <w:rPr>
                <w:sz w:val="20"/>
                <w:szCs w:val="20"/>
                <w:color w:val="auto"/>
              </w:rPr>
            </w:pPr>
            <w:r>
              <w:rPr>
                <w:rFonts w:ascii="Times New Roman" w:cs="Times New Roman" w:eastAsia="Times New Roman" w:hAnsi="Times New Roman"/>
                <w:sz w:val="16"/>
                <w:szCs w:val="16"/>
                <w:color w:val="auto"/>
              </w:rPr>
              <w:t>8.18</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19"/>
              <w:spacing w:after="0" w:line="15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19"/>
              <w:spacing w:after="0" w:line="150" w:lineRule="exact"/>
              <w:rPr>
                <w:sz w:val="20"/>
                <w:szCs w:val="20"/>
                <w:color w:val="auto"/>
              </w:rPr>
            </w:pPr>
            <w:r>
              <w:rPr>
                <w:rFonts w:ascii="Times New Roman" w:cs="Times New Roman" w:eastAsia="Times New Roman" w:hAnsi="Times New Roman"/>
                <w:sz w:val="16"/>
                <w:szCs w:val="16"/>
                <w:color w:val="auto"/>
              </w:rPr>
              <w:t>8.92</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19"/>
              <w:spacing w:after="0" w:line="15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line="150" w:lineRule="exact"/>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00" w:type="dxa"/>
            <w:vAlign w:val="bottom"/>
            <w:tcBorders>
              <w:bottom w:val="single" w:sz="8" w:color="CCEEFF"/>
            </w:tcBorders>
            <w:shd w:val="clear" w:color="auto" w:fill="CCEEFF"/>
          </w:tcPr>
          <w:p>
            <w:pPr>
              <w:ind w:left="60"/>
              <w:spacing w:after="0" w:line="170" w:lineRule="exact"/>
              <w:rPr>
                <w:sz w:val="20"/>
                <w:szCs w:val="20"/>
                <w:color w:val="auto"/>
              </w:rPr>
            </w:pPr>
            <w:r>
              <w:rPr>
                <w:rFonts w:ascii="Times New Roman" w:cs="Times New Roman" w:eastAsia="Times New Roman" w:hAnsi="Times New Roman"/>
                <w:sz w:val="16"/>
                <w:szCs w:val="16"/>
                <w:color w:val="auto"/>
              </w:rPr>
              <w:t>Per share market value at end of period</w:t>
            </w:r>
          </w:p>
        </w:tc>
        <w:tc>
          <w:tcPr>
            <w:tcW w:w="140" w:type="dxa"/>
            <w:vAlign w:val="bottom"/>
            <w:tcBorders>
              <w:bottom w:val="single" w:sz="8" w:color="auto"/>
            </w:tcBorders>
            <w:shd w:val="clear" w:color="auto" w:fill="CCEEFF"/>
          </w:tcPr>
          <w:p>
            <w:pPr>
              <w:ind w:left="40"/>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3.21</w:t>
            </w: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5.82</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8.23</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8.18</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8.92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6.07 %</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(5)</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assets, end of period (in thousands)</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70,849</w:t>
            </w:r>
          </w:p>
        </w:tc>
        <w:tc>
          <w:tcPr>
            <w:tcW w:w="4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129,914</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117,613</w:t>
            </w:r>
          </w:p>
        </w:tc>
        <w:tc>
          <w:tcPr>
            <w:tcW w:w="6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98,751</w:t>
            </w:r>
          </w:p>
        </w:tc>
        <w:tc>
          <w:tcPr>
            <w:tcW w:w="6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Ratio of gross expenses to average net assets </w:t>
            </w:r>
            <w:r>
              <w:rPr>
                <w:rFonts w:ascii="Times New Roman" w:cs="Times New Roman" w:eastAsia="Times New Roman" w:hAnsi="Times New Roman"/>
                <w:sz w:val="21"/>
                <w:szCs w:val="21"/>
                <w:color w:val="auto"/>
                <w:vertAlign w:val="superscript"/>
              </w:rPr>
              <w:t>(6)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12.92 %</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7.42 %</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Ratio of net expenses to average net assets </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Ratio of net expenses before incentive fees to average net</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11.36 %</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9.72 %</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assets </w:t>
            </w:r>
            <w:r>
              <w:rPr>
                <w:rFonts w:ascii="Times New Roman" w:cs="Times New Roman" w:eastAsia="Times New Roman" w:hAnsi="Times New Roman"/>
                <w:sz w:val="21"/>
                <w:szCs w:val="21"/>
                <w:color w:val="auto"/>
                <w:vertAlign w:val="superscript"/>
              </w:rPr>
              <w:t>(6)</w:t>
            </w: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Ratio of net investment income to average net assets </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Portfolio turnover rate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17.69 %</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100.91 %</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28.39 %</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Asset coverage of preferred shares and credit facility</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Loan Outstanding, End of Year/Period (in thousands) </w:t>
            </w:r>
            <w:r>
              <w:rPr>
                <w:rFonts w:ascii="Times New Roman" w:cs="Times New Roman" w:eastAsia="Times New Roman" w:hAnsi="Times New Roman"/>
                <w:sz w:val="21"/>
                <w:szCs w:val="21"/>
                <w:color w:val="auto"/>
                <w:vertAlign w:val="superscript"/>
              </w:rPr>
              <w:t>(8)</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Asset Coverage Ratio for Loan Outstanding </w:t>
            </w:r>
            <w:r>
              <w:rPr>
                <w:rFonts w:ascii="Times New Roman" w:cs="Times New Roman" w:eastAsia="Times New Roman" w:hAnsi="Times New Roman"/>
                <w:sz w:val="21"/>
                <w:szCs w:val="21"/>
                <w:color w:val="auto"/>
                <w:vertAlign w:val="superscript"/>
              </w:rPr>
              <w:t>(8)</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Asset Coverage, per $1,000 Principal Amount of Loan</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16,233</w:t>
            </w:r>
          </w:p>
        </w:tc>
        <w:tc>
          <w:tcPr>
            <w:tcW w:w="4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31,434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15,463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Outstanding </w:t>
            </w:r>
            <w:r>
              <w:rPr>
                <w:rFonts w:ascii="Times New Roman" w:cs="Times New Roman" w:eastAsia="Times New Roman" w:hAnsi="Times New Roman"/>
                <w:sz w:val="21"/>
                <w:szCs w:val="21"/>
                <w:color w:val="auto"/>
                <w:vertAlign w:val="superscript"/>
              </w:rPr>
              <w:t>(8)</w:t>
            </w: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Loans Outstanding (in thousands) </w:t>
            </w:r>
            <w:r>
              <w:rPr>
                <w:rFonts w:ascii="Times New Roman" w:cs="Times New Roman" w:eastAsia="Times New Roman" w:hAnsi="Times New Roman"/>
                <w:sz w:val="21"/>
                <w:szCs w:val="21"/>
                <w:color w:val="auto"/>
                <w:vertAlign w:val="superscript"/>
              </w:rPr>
              <w:t>(8)</w:t>
            </w: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2,526</w:t>
            </w:r>
          </w:p>
        </w:tc>
        <w:tc>
          <w:tcPr>
            <w:tcW w:w="4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3,732</w:t>
            </w:r>
          </w:p>
        </w:tc>
        <w:tc>
          <w:tcPr>
            <w:tcW w:w="60" w:type="dxa"/>
            <w:vAlign w:val="bottom"/>
          </w:tcPr>
          <w:p>
            <w:pPr>
              <w:spacing w:after="0"/>
              <w:rPr>
                <w:sz w:val="19"/>
                <w:szCs w:val="19"/>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 xml:space="preserve">Weighted Average Interest Rate on Loans Outstanding </w:t>
            </w:r>
            <w:r>
              <w:rPr>
                <w:rFonts w:ascii="Times New Roman" w:cs="Times New Roman" w:eastAsia="Times New Roman" w:hAnsi="Times New Roman"/>
                <w:sz w:val="21"/>
                <w:szCs w:val="21"/>
                <w:color w:val="auto"/>
                <w:vertAlign w:val="superscript"/>
              </w:rPr>
              <w:t>(8)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7.09 %</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7.94 %</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273"/>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amounts are calculated based on the average shares outstanding during the period.</w:t>
      </w:r>
    </w:p>
    <w:p>
      <w:pPr>
        <w:spacing w:after="0" w:line="23" w:lineRule="exact"/>
        <w:rPr>
          <w:rFonts w:ascii="Times New Roman" w:cs="Times New Roman" w:eastAsia="Times New Roman" w:hAnsi="Times New Roman"/>
          <w:sz w:val="16"/>
          <w:szCs w:val="16"/>
          <w:color w:val="auto"/>
        </w:rPr>
      </w:pPr>
    </w:p>
    <w:p>
      <w:pPr>
        <w:ind w:left="500" w:hanging="273"/>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realized and unrealized gain (loss) includes adjustments to reconcile change in net asset value (“NAV”) per share. The amount may</w:t>
      </w:r>
    </w:p>
    <w:p>
      <w:pPr>
        <w:spacing w:after="0" w:line="8" w:lineRule="exact"/>
        <w:rPr>
          <w:sz w:val="20"/>
          <w:szCs w:val="20"/>
          <w:color w:val="auto"/>
        </w:rPr>
      </w:pPr>
    </w:p>
    <w:p>
      <w:pPr>
        <w:ind w:left="480" w:right="340"/>
        <w:spacing w:after="0" w:line="253" w:lineRule="auto"/>
        <w:rPr>
          <w:sz w:val="20"/>
          <w:szCs w:val="20"/>
          <w:color w:val="auto"/>
        </w:rPr>
      </w:pPr>
      <w:r>
        <w:rPr>
          <w:rFonts w:ascii="Times New Roman" w:cs="Times New Roman" w:eastAsia="Times New Roman" w:hAnsi="Times New Roman"/>
          <w:sz w:val="16"/>
          <w:szCs w:val="16"/>
          <w:color w:val="auto"/>
        </w:rPr>
        <w:t>not agree with the change in the aggregate net realized and unrealized gain (loss) due to the timing of the issuance of the Fund’s common shares in relation to fluctuating market values for the portfolio.</w:t>
      </w:r>
    </w:p>
    <w:p>
      <w:pPr>
        <w:jc w:val="both"/>
        <w:ind w:left="480" w:right="300" w:hanging="253"/>
        <w:spacing w:after="0" w:line="255" w:lineRule="auto"/>
        <w:tabs>
          <w:tab w:leader="none" w:pos="46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monitors available taxable earnings to determine if a tax return of capital may occur for the period. To the extent the Fund’s taxable earnings fall below the total amount of the Fund’s distributions for that fiscal year, a portion of those distributions may be deemed a tax return of capital to the Fund’s shareholders. The ultimate tax character of the Fund’s earnings cannot be determined until tax returns are prepared after the end of the fiscal year.</w:t>
      </w:r>
    </w:p>
    <w:p>
      <w:pPr>
        <w:spacing w:after="0" w:line="1" w:lineRule="exact"/>
        <w:rPr>
          <w:rFonts w:ascii="Times New Roman" w:cs="Times New Roman" w:eastAsia="Times New Roman" w:hAnsi="Times New Roman"/>
          <w:sz w:val="16"/>
          <w:szCs w:val="16"/>
          <w:color w:val="auto"/>
        </w:rPr>
      </w:pPr>
    </w:p>
    <w:p>
      <w:pPr>
        <w:ind w:left="480" w:right="300" w:hanging="253"/>
        <w:spacing w:after="0" w:line="252" w:lineRule="auto"/>
        <w:tabs>
          <w:tab w:leader="none" w:pos="50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net asset value (not annualized) is based on the change in net asset value per common share during the year plus the declared dividends on common stock, assuming reinvestment of dividends in accordance with the dividend reinvestment plan, divided by the beginning net asset value for the period. Had the Adviser not waived expenses, total returns would have been lower. Returns do not reflect the deduction of taxes that a shareholder would pay on fund distributions or the redemption of fund shares.</w:t>
      </w:r>
    </w:p>
    <w:p>
      <w:pPr>
        <w:ind w:left="480" w:right="280" w:hanging="253"/>
        <w:spacing w:after="0" w:line="254" w:lineRule="auto"/>
        <w:tabs>
          <w:tab w:leader="none" w:pos="50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(not annualized) is calculated as the change in market value per common share during the period plus the declared dividends on common stock, assuming reinvestment of dividends in accordance with the dividend reinvestment plan, divided by the beginning market price for the period. Had the Adviser not waived expenses, total returns would have been lower. Returns do not reflect the deduction of taxes that a shareholder would pay on fund distributions or the redemption of fund shares.</w:t>
      </w:r>
    </w:p>
    <w:p>
      <w:pPr>
        <w:ind w:left="480" w:right="460" w:hanging="253"/>
        <w:spacing w:after="0" w:line="260" w:lineRule="auto"/>
        <w:tabs>
          <w:tab w:leader="none" w:pos="50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Annualized for periods less than one full year. For years ended September 2022 and 2023, the Fund waived certain expenses in connection with an expense limitation agreement. For the six month period ended March 31, 2026, there were no expenses waived. See Note 4.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further information.</w:t>
      </w:r>
    </w:p>
    <w:p>
      <w:pPr>
        <w:sectPr>
          <w:pgSz w:w="11900" w:h="16838" w:orient="portrait"/>
          <w:cols w:equalWidth="0" w:num="1">
            <w:col w:w="9700"/>
          </w:cols>
          <w:pgMar w:left="1100" w:top="495" w:right="1099" w:bottom="1440"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700"/>
          </w:cols>
          <w:pgMar w:left="1100" w:top="495" w:right="10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(Continued)</w:t>
      </w:r>
    </w:p>
    <w:p>
      <w:pPr>
        <w:spacing w:after="0" w:line="9" w:lineRule="exact"/>
        <w:rPr>
          <w:sz w:val="20"/>
          <w:szCs w:val="20"/>
          <w:color w:val="auto"/>
        </w:rPr>
      </w:pPr>
    </w:p>
    <w:p>
      <w:pPr>
        <w:ind w:left="260" w:right="20" w:hanging="253"/>
        <w:spacing w:after="0" w:line="254" w:lineRule="auto"/>
        <w:tabs>
          <w:tab w:leader="none" w:pos="2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at the close of business on July 14, 2023, CGCIM replaced Oakline Advisors as the Fund’s new investment adviser and the Fund’s investment strategy was changed to invest primarily in debt and equity tranches issued by collateralized loan obligations. Prior to the close of business on July 14, 2023, the investment strategy was to invest primarily in mortgage notes secured by residential real estate.</w:t>
      </w:r>
    </w:p>
    <w:p>
      <w:pPr>
        <w:ind w:left="260" w:hanging="253"/>
        <w:spacing w:after="0" w:line="258" w:lineRule="auto"/>
        <w:tabs>
          <w:tab w:leader="none" w:pos="24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11, 2025, the Fund entered into a revolving credit and security agreement (the “Credit Facility”). The weighted average loans outstanding and weighted average interest rate on loans outstanding were calculated from August 13, 2025 (initial date the Fund borrowed under the Credit Facility) through September 30, 2025 for the year ended September 30, 2025. The obligations under the Credit Facility are secured by a first priority lien on substantially all of the Fund’s portfolio investments (see Note 6, Borrowings). A revolving line of credit agreement between the Fund and Nexbank was terminated on July 5,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Senior Securities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Involuntary</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Exclusive of</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Liquidating</w:t>
            </w: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Class and Period Ended</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16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Coverage</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Preference</w:t>
            </w:r>
          </w:p>
        </w:tc>
        <w:tc>
          <w:tcPr>
            <w:tcW w:w="1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Value</w:t>
            </w:r>
          </w:p>
        </w:tc>
        <w:tc>
          <w:tcPr>
            <w:tcW w:w="0" w:type="dxa"/>
            <w:vAlign w:val="bottom"/>
          </w:tcPr>
          <w:p>
            <w:pPr>
              <w:spacing w:after="0"/>
              <w:rPr>
                <w:sz w:val="1"/>
                <w:szCs w:val="1"/>
                <w:color w:val="auto"/>
              </w:rPr>
            </w:pPr>
          </w:p>
        </w:tc>
      </w:tr>
      <w:tr>
        <w:trPr>
          <w:trHeight w:val="183"/>
        </w:trPr>
        <w:tc>
          <w:tcPr>
            <w:tcW w:w="3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Securities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Per Unit </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Per Unit </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1020" w:type="dxa"/>
            <w:vAlign w:val="bottom"/>
          </w:tcPr>
          <w:p>
            <w:pPr>
              <w:jc w:val="center"/>
              <w:ind w:right="79"/>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Per Unit </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305"/>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1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16,233.31</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9"/>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6,750,000</w:t>
            </w:r>
          </w:p>
        </w:tc>
        <w:tc>
          <w:tcPr>
            <w:tcW w:w="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31,434.17</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1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8.75% Series A Term Preferred Shares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r>
        <w:trPr>
          <w:trHeight w:val="249"/>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52,000,000</w:t>
            </w:r>
          </w:p>
        </w:tc>
        <w:tc>
          <w:tcPr>
            <w:tcW w:w="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7.125% Series B Convertible Preferred</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2,200.49</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5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2,579.17</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9"/>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11,517,000</w:t>
            </w:r>
          </w:p>
        </w:tc>
        <w:tc>
          <w:tcPr>
            <w:tcW w:w="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2,851.68</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7.50% Series C Convertible Preferred</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2,579.17</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18"/>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7.375% Series D Term Preferred Shares</w:t>
            </w: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25.17</w:t>
            </w: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7.25% Series E Convertible Preferred</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17,500,000</w:t>
            </w: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2,200.49</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20" w:hanging="213"/>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principal value at the end of the period presented.</w:t>
      </w:r>
    </w:p>
    <w:p>
      <w:pPr>
        <w:spacing w:after="0" w:line="27" w:lineRule="exact"/>
        <w:rPr>
          <w:rFonts w:ascii="Times New Roman" w:cs="Times New Roman" w:eastAsia="Times New Roman" w:hAnsi="Times New Roman"/>
          <w:sz w:val="14"/>
          <w:szCs w:val="14"/>
          <w:color w:val="auto"/>
        </w:rPr>
      </w:pPr>
    </w:p>
    <w:p>
      <w:pPr>
        <w:jc w:val="both"/>
        <w:ind w:left="260" w:right="20" w:hanging="253"/>
        <w:spacing w:after="0" w:line="256" w:lineRule="auto"/>
        <w:tabs>
          <w:tab w:leader="none" w:pos="22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per unit is the ratio of the carrying value of the Fund’s total assets, less all liabilities and indebtedness not represented by senior securities, to the aggregate amount of the outstanding senior securities as calculated in accordance with Section 18(h) of the 1940 Act. The asset coverage per unit figure is expressed in terms of dollar amounts per share of outstanding Preferred Shares (based on a per share liquidation preference of $25 in the case of the</w:t>
      </w:r>
    </w:p>
    <w:p>
      <w:pPr>
        <w:spacing w:after="0" w:line="1" w:lineRule="exact"/>
        <w:rPr>
          <w:rFonts w:ascii="Times New Roman" w:cs="Times New Roman" w:eastAsia="Times New Roman" w:hAnsi="Times New Roman"/>
          <w:sz w:val="14"/>
          <w:szCs w:val="14"/>
          <w:color w:val="auto"/>
        </w:rPr>
      </w:pPr>
    </w:p>
    <w:p>
      <w:pPr>
        <w:ind w:left="260" w:right="16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8.75% Series A Term Preferred Shares and 7.375% Series D Term Preferred Shares, and $1,000 in the case of the 7.125% Series B Convertible Preferred Shares, 7.50% Series C Convertible Preferred Shares and the 7.25% Series E Convertible Preferred Shares). With respect to the Credit Facility, the asset coverage ratio is multiplied by $1,000 to determine the asset coverage per unit.</w:t>
      </w:r>
    </w:p>
    <w:p>
      <w:pPr>
        <w:ind w:left="220" w:hanging="213"/>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which such class of senior security would be entitled upon our involuntary liquidation in preference to any security junior to it.</w:t>
      </w:r>
    </w:p>
    <w:p>
      <w:pPr>
        <w:spacing w:after="0" w:line="14" w:lineRule="exact"/>
        <w:rPr>
          <w:rFonts w:ascii="Times New Roman" w:cs="Times New Roman" w:eastAsia="Times New Roman" w:hAnsi="Times New Roman"/>
          <w:sz w:val="14"/>
          <w:szCs w:val="14"/>
          <w:color w:val="auto"/>
        </w:rPr>
      </w:pPr>
    </w:p>
    <w:p>
      <w:pPr>
        <w:ind w:left="260" w:right="80" w:hanging="253"/>
        <w:spacing w:after="0" w:line="251" w:lineRule="auto"/>
        <w:tabs>
          <w:tab w:leader="none" w:pos="22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market value per unit is calculated by taking the average of the closing price of the 8.75% Series A Term Preferred Shares (NYSE: CCIA) and the 7.375% Series D Term Preferred Shares (NYSE: CCID) for each day during the year for which they were listed on the NYSE. Not applicable for the</w:t>
      </w:r>
    </w:p>
    <w:p>
      <w:pPr>
        <w:ind w:left="260" w:right="6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7.125% Series B Convertible Preferred Shares, the 7.50% Series C Convertible Preferred Shares, the 7.25% Series E Convertible Preferred Shares, and the Credit Facility as they do not have market quoted levels.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ectPr>
          <w:pgSz w:w="11900" w:h="16838" w:orient="portrait"/>
          <w:cols w:equalWidth="0" w:num="1">
            <w:col w:w="9220"/>
          </w:cols>
          <w:pgMar w:left="1320" w:top="752"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20"/>
          </w:cols>
          <w:pgMar w:left="1320" w:top="752" w:right="1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329"/>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Carlyle Credit Income Fund (the “Fund”) is a non-diversified, closed-end management investment company registered under the Investment Company Act of 1940, as amended (the “1940 Act”). The Fund was organized as a Delaware statutory trust on April 8, 2011. In addition, the Fund has elected to be treated, and intends to continue to comply with the requirements to qualify annually, as a regulated investment company (“RIC”) under Subchapter M of the Internal Revenue Code of 1986, as amended (together with the rules and regulations promulgated thereunder, the “Code”). The Fund currently has one class of common shares which commenced operations on December 30, 2011. The Fund was previously named Vertical Capital Income Fund (“VCIF”) and was managed by its Adviser, Oakline Advisors LLC (“Oakline”). Effective at the close of business on July 14, 2023, the Fund is managed by its Adviser, Carlyle Global Credit Investment Management L.L.C. (“CGCIM” or the “Adviser”), a wholly owned subsidiary of Carlyle Investment Management L.L.C.</w:t>
      </w:r>
    </w:p>
    <w:p>
      <w:pPr>
        <w:spacing w:after="0" w:line="8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highlight w:val="white"/>
        </w:rPr>
        <w:t xml:space="preserve">On January 12, 2023, the Fund entered into a definitive agreement (the “Transaction Agreement”) with the Adviser </w:t>
      </w:r>
      <w:r>
        <w:rPr>
          <w:sz w:val="1"/>
          <w:szCs w:val="1"/>
          <w:color w:val="auto"/>
        </w:rPr>
        <w:drawing>
          <wp:inline distT="0" distB="0" distL="0" distR="0">
            <wp:extent cx="26035" cy="114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pursuant to which, among other things, CGCIM would become the investment adviser to the Fund (the “Transaction”). Pursuant</w:t>
      </w:r>
      <w:r>
        <w:rPr>
          <w:sz w:val="1"/>
          <w:szCs w:val="1"/>
          <w:color w:val="auto"/>
        </w:rPr>
        <w:drawing>
          <wp:inline distT="0" distB="0" distL="0" distR="0">
            <wp:extent cx="26035" cy="114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to the Transaction Agreement, the investment advisory agreement between the Fund and Oakline terminated at or near the </w:t>
      </w:r>
      <w:r>
        <w:rPr>
          <w:sz w:val="1"/>
          <w:szCs w:val="1"/>
          <w:color w:val="auto"/>
        </w:rPr>
        <w:drawing>
          <wp:inline distT="0" distB="0" distL="0" distR="0">
            <wp:extent cx="26035" cy="114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closing of the Transaction (the “Closing”). As a result, the holders of the Fund’s common shares (“Shareholders”) were asked </w:t>
      </w:r>
      <w:r>
        <w:rPr>
          <w:sz w:val="1"/>
          <w:szCs w:val="1"/>
          <w:color w:val="auto"/>
        </w:rPr>
        <w:drawing>
          <wp:inline distT="0" distB="0" distL="0" distR="0">
            <wp:extent cx="26035" cy="114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to approve a new investment advisory agreement between the Fund and CGCIM and to approve certain other proposals upon </w:t>
      </w:r>
      <w:r>
        <w:rPr>
          <w:sz w:val="1"/>
          <w:szCs w:val="1"/>
          <w:color w:val="auto"/>
        </w:rPr>
        <w:drawing>
          <wp:inline distT="0" distB="0" distL="0" distR="0">
            <wp:extent cx="26035" cy="114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which the Closing was conditioned. The Shareholders approved the new Investment Advisory Agreement and the other </w:t>
      </w:r>
      <w:r>
        <w:rPr>
          <w:sz w:val="1"/>
          <w:szCs w:val="1"/>
          <w:color w:val="auto"/>
        </w:rPr>
        <w:drawing>
          <wp:inline distT="0" distB="0" distL="0" distR="0">
            <wp:extent cx="26035" cy="114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proposals at a shareholder meeting on June 15, 2023, followed by the Closing, which occurred on July 14, 2023. In connection </w:t>
      </w:r>
      <w:r>
        <w:rPr>
          <w:sz w:val="1"/>
          <w:szCs w:val="1"/>
          <w:color w:val="auto"/>
        </w:rPr>
        <w:drawing>
          <wp:inline distT="0" distB="0" distL="0" distR="0">
            <wp:extent cx="26035" cy="114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with Closing, (i) the Fund sold existing investments with a gross asset value equal to approximately 97% of the total gross asset </w:t>
      </w:r>
      <w:r>
        <w:rPr>
          <w:sz w:val="1"/>
          <w:szCs w:val="1"/>
          <w:color w:val="auto"/>
        </w:rPr>
        <w:drawing>
          <wp:inline distT="0" distB="0" distL="0" distR="0">
            <wp:extent cx="26035" cy="114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value of such investments as of August 31, 2022, subject to certain exclusions; (ii) CGCIM replaced Oakline as the Fund’s new </w:t>
      </w:r>
      <w:r>
        <w:rPr>
          <w:sz w:val="1"/>
          <w:szCs w:val="1"/>
          <w:color w:val="auto"/>
        </w:rPr>
        <w:drawing>
          <wp:inline distT="0" distB="0" distL="0" distR="0">
            <wp:extent cx="26035" cy="1143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investment adviser; (iii) the Fund’s investment strategy was changed to invest primarily in debt and equity tranches issued by </w:t>
      </w:r>
      <w:r>
        <w:rPr>
          <w:sz w:val="1"/>
          <w:szCs w:val="1"/>
          <w:color w:val="auto"/>
        </w:rPr>
        <w:drawing>
          <wp:inline distT="0" distB="0" distL="0" distR="0">
            <wp:extent cx="26035" cy="114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collateralized loan obligations; (iv) each of the Fund’s trustees and officers were replaced; (v) the Fund changed its name on </w:t>
      </w:r>
      <w:r>
        <w:rPr>
          <w:sz w:val="1"/>
          <w:szCs w:val="1"/>
          <w:color w:val="auto"/>
        </w:rPr>
        <w:drawing>
          <wp:inline distT="0" distB="0" distL="0" distR="0">
            <wp:extent cx="26035" cy="1143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July 14, 2023 from Vertical Capital Income Fund to Carlyle Credit Income Fund; and (vi) on July 27, 2023 the Fund’s common </w:t>
      </w:r>
      <w:r>
        <w:rPr>
          <w:sz w:val="1"/>
          <w:szCs w:val="1"/>
          <w:color w:val="auto"/>
        </w:rPr>
        <w:drawing>
          <wp:inline distT="0" distB="0" distL="0" distR="0">
            <wp:extent cx="26035" cy="1143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shares began trading on NYSE under the symbol “CCIF.” In addition, Shareholders of the Fund received a special one-time </w:t>
      </w:r>
      <w:r>
        <w:rPr>
          <w:sz w:val="1"/>
          <w:szCs w:val="1"/>
          <w:color w:val="auto"/>
        </w:rPr>
        <w:drawing>
          <wp:inline distT="0" distB="0" distL="0" distR="0">
            <wp:extent cx="26035" cy="114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payment of $10,000,000 from CGCIM (or one of its affiliates), or approximately $0.96 per common share.</w:t>
      </w:r>
    </w:p>
    <w:p>
      <w:pPr>
        <w:spacing w:after="0" w:line="9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highlight w:val="white"/>
        </w:rPr>
        <w:t xml:space="preserve">Following the closing of the Transaction and pursuant to the Transaction Agreement, (i) CG Subsidiary Holdings </w:t>
      </w:r>
      <w:r>
        <w:rPr>
          <w:sz w:val="1"/>
          <w:szCs w:val="1"/>
          <w:color w:val="auto"/>
        </w:rPr>
        <w:drawing>
          <wp:inline distT="0" distB="0" distL="0" distR="0">
            <wp:extent cx="26035" cy="1143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L.L.C., an affiliate of the Adviser (the “Purchaser”) commenced a tender offer on July 18, 2023 to purchase up to $25,000,000 </w:t>
      </w:r>
      <w:r>
        <w:rPr>
          <w:sz w:val="1"/>
          <w:szCs w:val="1"/>
          <w:color w:val="auto"/>
        </w:rPr>
        <w:drawing>
          <wp:inline distT="0" distB="0" distL="0" distR="0">
            <wp:extent cx="26035" cy="1143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of outstanding Fund common shares at the then-current net asset value per common share (the “Tender Offer”), and (ii) the </w:t>
      </w:r>
      <w:r>
        <w:rPr>
          <w:sz w:val="1"/>
          <w:szCs w:val="1"/>
          <w:color w:val="auto"/>
        </w:rPr>
        <w:drawing>
          <wp:inline distT="0" distB="0" distL="0" distR="0">
            <wp:extent cx="26035" cy="114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Purchaser agreed to invest $15,000,000 into the Fund through the purchase of newly issued Fund common shares at a price </w:t>
      </w:r>
      <w:r>
        <w:rPr>
          <w:sz w:val="1"/>
          <w:szCs w:val="1"/>
          <w:color w:val="auto"/>
        </w:rPr>
        <w:drawing>
          <wp:inline distT="0" distB="0" distL="0" distR="0">
            <wp:extent cx="26035" cy="1143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equal to the greater of the then-current net asset value per common share and the net asset value per common share that </w:t>
      </w:r>
      <w:r>
        <w:rPr>
          <w:sz w:val="1"/>
          <w:szCs w:val="1"/>
          <w:color w:val="auto"/>
        </w:rPr>
        <w:drawing>
          <wp:inline distT="0" distB="0" distL="0" distR="0">
            <wp:extent cx="26035" cy="1143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represents the tender offer purchase price (the “New Issuance”), and through acquiring common shares in private purchases (the</w:t>
      </w:r>
      <w:r>
        <w:rPr>
          <w:sz w:val="1"/>
          <w:szCs w:val="1"/>
          <w:color w:val="auto"/>
        </w:rPr>
        <w:drawing>
          <wp:inline distT="0" distB="0" distL="0" distR="0">
            <wp:extent cx="26035" cy="114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114300"/>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“Private Purchase”).</w:t>
      </w:r>
    </w:p>
    <w:p>
      <w:pPr>
        <w:spacing w:after="0" w:line="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highlight w:val="white"/>
        </w:rPr>
        <w:t xml:space="preserve">The Tender Offer expired on August 28, 2023, and the Purchaser accepted for purchase 3,012,049 common shares at a </w:t>
      </w:r>
      <w:r>
        <w:rPr>
          <w:sz w:val="1"/>
          <w:szCs w:val="1"/>
          <w:color w:val="auto"/>
        </w:rPr>
        <w:drawing>
          <wp:inline distT="0" distB="0" distL="0" distR="0">
            <wp:extent cx="2603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purchase price of $8.30 per common share for an aggregate purchase price of $25,000,007, excluding fees and expenses relating</w:t>
      </w:r>
      <w:r>
        <w:rPr>
          <w:sz w:val="1"/>
          <w:szCs w:val="1"/>
          <w:color w:val="auto"/>
        </w:rPr>
        <w:drawing>
          <wp:inline distT="0" distB="0" distL="0" distR="0">
            <wp:extent cx="2603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to the Tender Offer.</w:t>
      </w:r>
    </w:p>
    <w:p>
      <w:pPr>
        <w:spacing w:after="0" w:line="10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On September 12, 2023, the Fund closed the New Issuance and issued and sold 1,269,537 common shares to the Purchaser at a purchase price of $8.52 per common share, which price represented the net asset value per common share as of the closing of the New Issuance, for an aggregate purchase price of $10,816,451.</w:t>
      </w:r>
    </w:p>
    <w:p>
      <w:pPr>
        <w:spacing w:after="0" w:line="6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highlight w:val="white"/>
        </w:rPr>
        <w:t>On September 12, 2023, the Purchaser closed the Private Purchase and acquired 504,042 common shares from existing</w:t>
      </w:r>
      <w:r>
        <w:rPr>
          <w:sz w:val="1"/>
          <w:szCs w:val="1"/>
          <w:color w:val="auto"/>
        </w:rPr>
        <w:drawing>
          <wp:inline distT="0" distB="0" distL="0" distR="0">
            <wp:extent cx="2603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shareholders of the Fund.</w:t>
      </w:r>
    </w:p>
    <w:p>
      <w:pPr>
        <w:spacing w:after="0" w:line="88"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Prior to the close of business on July 14, 2023, the Fund’s investment objective was to generate income by primarily investing in mortgage notes secured by residential real estate. Following the closing of the Transaction, the Fund’s primary investment objective is to generate current income, with a secondary objective to generate capital appreciation. The Fund seeks to achieve its investment objectives by investing primarily in equity and junior debt tranches of collateralized loan obligations (“CLO”) that are collateralized by a portfolio consisting primarily of below investment grade U.S. senior secured loans with a large number of distinct underlying borrowers across various industry sectors. The Fund may also invest in other related securities and instruments or other securities and instruments that the Adviser believes are consistent with its investment objectives, including senior debt tranches of CLOs, loan accumulation facilities (“LAFs”) and securities issued by other securitization vehicles, such as collateralized bond obligations, or “CBOs.” LAFs are short- to medium-term facilities often provided by the bank that will serve as the placement agent or arranger on a CLO transaction. LAFs typically incur leverage between four and six times equity value prior to a CLO’s pricing. The CLO securities in which the Fund primarily seek to invest are unrated or rated below investment grade and are considered speculative with respect to timely payment of interest and repayment of principal. Unrated and below investment grade securities are also sometimes referred to as “junk” securities. In</w:t>
      </w:r>
    </w:p>
    <w:p>
      <w:pPr>
        <w:sectPr>
          <w:pgSz w:w="11900" w:h="16838" w:orient="portrait"/>
          <w:cols w:equalWidth="0" w:num="1">
            <w:col w:w="9280"/>
          </w:cols>
          <w:pgMar w:left="1320" w:top="495" w:right="12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80"/>
          </w:cols>
          <w:pgMar w:left="1320" w:top="495" w:right="1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 the CLO equity and junior debt securities in which the Fund invests are highly leveraged (with CLO equity securities typically being leveraged ten times), which magnifies the Fund’s risk of loss on such investments.</w:t>
      </w:r>
    </w:p>
    <w:p>
      <w:pPr>
        <w:spacing w:after="0" w:line="5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To qualify as a RIC, the Fund must, among other things, meet certain source-of-income and asset diversification requirements and timely distribute to its shareholders generally at least 90% of its investment company taxable income, as defined by the Code, for each year. Pursuant to this election, the Fund generally does not have to pay corporate level taxes on any income that it distributes to shareholders, provided that the Fund satisfies those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financial statements have been prepared on the accrual basis of accounting in accordance with accounting principles generally accepted in the United States (“U.S. GAAP”). The Fund is an investment company for the purposes of accounting and financial reporting in accordance with Financial Accounting Standards Board (“FASB”) Accounting Standards Codification (“ASC”) Topic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xml:space="preserve"> (“ASC 946”)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 GAAP for an investment company requires investments to be recorded at fair value. With the exception of the line item entitled “preferred shares” which is reported at amortized cost, the carrying value for all other assets and liabilities approximates their fair value. The Fund’s fiscal year ends on September 30, and unless otherwise noted, references to fiscal year or year are for fiscal years ended September 30.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assumptions and estimates that affect the reported amounts in the financial statements and accompanying notes. Management’s estimates are based on historical experiences and other factors, including expectations of future events that management believes to be reasonable under the circumstances. It also requires management to exercise judgment in the process of applying the Fund’s accounting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Investment transactions are recorded as of the applicable trade date. Realized gains or losses are measured by the difference between the net proceeds from the repayment or sale and the amortized cost basis of the investment using the specific identification method without regard to unrealized appreciation or depreciation previously recognized, and includes investments charged off during the period, net of recoveries. Net change in unrealized appreciation or depreciation on investments as presented in the accompanying Statement of Operations reflects the net change in the fair value of investments, including the reversal of previously recorded unrealized appreciation or depreciation when gains or losses are realized. See Note 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demand deposits and highly liquid investments (e.g., money market funds, U.S. Treasury notes) with original maturities of three months or less. The Fund’s cash and cash equivalents are held at one or more large financial institutions and cash held in such financial institutions may, at times, exceed the Federal Deposit Insurance Corporation insured limit. The Fund classifies cash equivalents as Level I in the fair value hierarchy. Cash equivalents are carried at cost or amortized cost which approximates fair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from Investments</w:t>
      </w:r>
    </w:p>
    <w:p>
      <w:pPr>
        <w:spacing w:after="0" w:line="11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CLO equity investments recognize investment income by utilizing an effective interest methodology based upon an effective yield to maturity utilizing projected cash flow, as required by ASC Topic 325-40, </w:t>
      </w:r>
      <w:r>
        <w:rPr>
          <w:rFonts w:ascii="Times New Roman" w:cs="Times New Roman" w:eastAsia="Times New Roman" w:hAnsi="Times New Roman"/>
          <w:sz w:val="18"/>
          <w:szCs w:val="18"/>
          <w:i w:val="1"/>
          <w:iCs w:val="1"/>
          <w:color w:val="auto"/>
        </w:rPr>
        <w:t>Beneficial Interest in Securitized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w:t>
      </w:r>
      <w:r>
        <w:rPr>
          <w:rFonts w:ascii="Times New Roman" w:cs="Times New Roman" w:eastAsia="Times New Roman" w:hAnsi="Times New Roman"/>
          <w:sz w:val="18"/>
          <w:szCs w:val="18"/>
          <w:color w:val="auto"/>
        </w:rPr>
        <w:t>. The Fund monitors the expected residual payments, and effective yield is determined and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as needed. Accordingly, investment income recognized on CLO equity securities in the U.S. GAAP statement of operations differs from both the tax-basis investment income and from the cash distributions actually received by the Fund during the quarterly period.</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accretion of discounts and amortization of premiums. Discounts from and premiums to par value on debt investments purchased are accreted/amortized into interest income over the life of the respective security using the effective interest method. The amortized cost of debt investments represents the original cost, including origination fees and upfront fees received that are deemed to be an adjustment to yield, adjusted for the accretion of discounts and amortization of premiums, if any.</w:t>
      </w:r>
    </w:p>
    <w:p>
      <w:pPr>
        <w:sectPr>
          <w:pgSz w:w="11900" w:h="16838" w:orient="portrait"/>
          <w:cols w:equalWidth="0" w:num="1">
            <w:col w:w="9240"/>
          </w:cols>
          <w:pgMar w:left="1320" w:top="49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40"/>
          </w:cols>
          <w:pgMar w:left="1320" w:top="495" w:right="1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Interest expense includes the Fund’s dividends associated with its 8.75% Series A Term Preferred Shares (the “Series A Term Preferred Shares”), its 7.125% Series B Convertible Preferred Shares (the “Series B Convertible Preferred Shares”), its 7.50% Series C Convertible Preferred Shares (the “Series C Convertible Preferred Shares”), its 7.375% Series D Term Preferred Shares (the “Series D Term Preferred Shares”), its 7.25% Series E Convertible Preferred Shares (the “Series E Convertible Preferred Shares”), and its Credit Facility. Interest expense also includes the Fund’s amortization of deferred issuance costs associated with its Series A Term Preferred Shares, its Series B Convertible Preferred Shares, its Series C Convertible Preferred Shares, its Series D Term Preferred Shares, its Series E Convertible Preferred Shares, and its Credit Facility.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w:t>
      </w:r>
    </w:p>
    <w:p>
      <w:pPr>
        <w:spacing w:after="0" w:line="117"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18"/>
          <w:szCs w:val="18"/>
          <w:color w:val="auto"/>
        </w:rPr>
        <w:t xml:space="preserve">Prepaid expenses consist primarily of insurance premiums and ATM program expenses. See Note 9.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for further information</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Insurance premiums are amortized over the term of the current policy. Prepaid ATM program expenses represent fees and expenses incurred in connection with the ATM program. Such costs are allocated pro-rata based on the amount issued relative to the total respective offering amount and are charged to paid-in-capital. Any remaining prepaid expense balance associated with the ATM program is charged to expense at the earlier of the end of the program period, or at the effective date of a new ATM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i w:val="1"/>
          <w:iCs w:val="1"/>
          <w:color w:val="auto"/>
        </w:rPr>
        <w:t xml:space="preserve"> Preferred Shares, </w:t>
      </w:r>
      <w:r>
        <w:rPr>
          <w:rFonts w:ascii="Times New Roman" w:cs="Times New Roman" w:eastAsia="Times New Roman" w:hAnsi="Times New Roman"/>
          <w:sz w:val="18"/>
          <w:szCs w:val="18"/>
          <w:color w:val="auto"/>
        </w:rPr>
        <w:t>for further information)</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Fund authorized and issued its Series A Term Preferred Shares and its Series B Convertible Preferred Shares during the year ended September 30, 2024. The Fund authorized and issued its Series C Convertible Preferred Shares during the year ended September 30, 2025. The Fund authorized and issued its Series D Term Preferred Shares and its Series E Convertible Preferred Shares during the six month period ended March 31, 2026. The Fund carries its mandatory redeemable Series A Term Preferred Shares, Series B Convertible Preferred Shares, Series C Convertible Preferred Shares, Series D Term Preferred Shares, and Series E Convertible Preferred Shares at amortized cost, and such shares are included as a liability on the Statement of Assets and Liabilities.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Issuance Costs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Deferred issuance costs consist of fees and expenses incurred in connection with the closing of the Fund’s Series A Term Preferred Shares, Series B Convertible Preferred Shares, Series C Convertible Preferred Shares, Series D Term Preferred Shares, Series E Convertible Preferred Shares, and the Credit Facility. Deferred issuance costs related to the Series A Term Preferred Shares and Series D Term Preferred Shares are amortized over the period the shares are outstanding. Deferred issuance costs related to the Series B Convertible Preferred Shares, Series C Convertible Preferred Shares and Series E Convertible Preferred Shares are amortized over the shorter of 12 months or the period the shares are outstanding. Deferred issuance costs related to the Credit Facility are amortized on the straight-line basis over the term of the Credit Facility. The amortized expenses are included in interest expense in the Fund’s financial statements. The unamortized deferred issuance costs related to the Series A Term Preferred Shares, Series B Convertible Preferred Shares, Series C Convertible Preferred Shares, Series D Term Preferred Shares, and Series E Convertible Preferred Shares are included on the Fund’s Statement of Assets and Liabilities as a direct deduction from the related preferred share liability. The unamortized balance of such costs related to the Credit Facility is included in Deferred Issuance Costs on the Fund’s Statement of Assets and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federal income tax purposes, the Fund has elected to be treated as a RIC under the Code, and intends to make the required distributions to its shareholders as specified therein. In order to qualify as a RIC, the Fund must meet certain minimum distribution, source-of-income and asset diversification requirements. If such requirements are met, then the Fund is generally required to pay income taxes only on the portion of its taxable income and gains it does not distribute.</w:t>
      </w:r>
    </w:p>
    <w:p>
      <w:pPr>
        <w:spacing w:after="0" w:line="7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minimum distribution requirements applicable to RICs require the Fund to distribute to its shareholders at least 90% of its investment company taxable income (“ICTI”), as defined by the Code, each year (the “Annual Distribution Requirement”). Depending on the level of ICTI earned in a tax year, the Fund may choose to carry forward ICTI in excess of current year distributions into the next tax year. Any such carryover ICTI must be distributed before the end of that next tax year through a dividend declared prior to filing the final tax return related to the year which generated such ICTI.</w:t>
      </w:r>
    </w:p>
    <w:p>
      <w:pPr>
        <w:spacing w:after="0" w:line="75"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In addition, based on the excise distribution requirements, the Fund is subject to a 4% nondeductible federal excise tax on undistributed income unless the Fund distributes in a timely manner an amount at least equal to the sum of (1) 98% of its ordinary income for each calendar year, (2) 98.2% of capital gain net income (both long-term and short-term) for the one-year period ending October 31 in that calendar year and (3) any income realized, but not distributed, in the preceding year. For this purpose, however, any ordinary income or capital gain net income retained by the Fund that is subject to corporate income tax</w:t>
      </w:r>
    </w:p>
    <w:p>
      <w:pPr>
        <w:sectPr>
          <w:pgSz w:w="11900" w:h="16838" w:orient="portrait"/>
          <w:cols w:equalWidth="0" w:num="1">
            <w:col w:w="9220"/>
          </w:cols>
          <w:pgMar w:left="1320" w:top="495" w:right="13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20"/>
          </w:cols>
          <w:pgMar w:left="1320" w:top="495" w:right="1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is considered to have been distributed. The Fund intends to make sufficient distributions each taxable year to satisfy the excise distribution requirements.</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timing of dividends and distributions, the fiscal year in which amounts are distributed may differ from the fiscal year in which the income or net realized gain was recorded by the Fund.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composition of distributions paid to common shareholders from net investment income and capital gains are determined in accordance with U.S. federal income tax regulations, which differ from U.S. GAAP. Distributions to common shareholders can be comprised of net investment income, net realized capital gains and return of capital for U.S. federal income tax purposes and are intended to be paid monthly. Distributions payable to common shareholders are recorded as a liability on ex-dividend date.</w:t>
      </w:r>
    </w:p>
    <w:p>
      <w:pPr>
        <w:spacing w:after="0" w:line="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Fund has an “opt out” dividend reinvestment plan (“DRP”) that provides for reinvestment of dividends and other distributions on behalf of the shareholder, other than those shareholders who have “opted out” of the plan. As a result of adopting the plan, if the Board of Trustees authorizes, and the Fund declares, a cash dividend or distribution, the shareholders who have not elected to “opt out” of the DRP will have their cash dividends or distributions automatically reinvested in additional shares of the Fund’s shares of beneficial interest, rather than receiving cash. Each registered shareholder may elect to have such shareholder’s dividends and distributions distributed in cash rather than participate in the plan. For any registered shareholder that does not so elect, distributions on such shareholder’s shares will be reinvested by the Transfer Agent, the Fund’s plan administrator, in additional shares. The number of shares to be issued to the shareholder will be determined based on the total dollar amount of the cash distribution payable, net of applicable withholding taxes.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11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Fund is the U.S. Dollar. Investments are generally made in the local currency of the country in which the investments are domiciled and are translated into U.S. Dollars with foreign currency translation gains or losses recorded within net change in unrealized appreciation (depreciation) on investments in the accompanying Statement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Fund applies fair value accounting in accordance with the terms of FASB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(“ASC 820”). ASC 820 defines fair value as the amount that would be exchanged to sell an asset or transfer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in an orderly transfer between market participants at the measurement date. The Fund values securities/instruments traded in active markets on the measurement date by multiplying the bid price of such traded securities/instruments by the quantity of shares or amount of the instrument held. The Fund may also obtain quotes with respect to certain of its investments, such as its securities/instruments traded in active markets and its liquid securities/instruments that are not traded in active markets, from pricing services, brokers, or counterparties (i.e., “consensus pricing”). When doing so, the Adviser determines whether the quote obtained is sufficient according to U.S. GAAP to determine the fair value of the security. The Fund may use the quote obtained or alternative pricing sources may be utilized including valuation techniques typically utilized for illiquid securities/instruments.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Board of Trustees has designated the Adviser as the Fund’s valuation designee for purposes of Rule 2a-5 under the Investment Company Act to perform the fair value determination of all of the Fund’s assets in accordance with the terms of ASC 820. Securities/instruments that are illiquid or for which the pricing source does not provide a valuation or methodology or provides a valuation or methodology that, in the judgment of the Adviser, does not represent fair value shall each be valued as of the measurement date using all techniques appropriate under the circumstances and for which sufficient data is available. These valuation techniques may vary by investment and include comparable public market valuations, comparable precedent transaction valuations and/or discounted cash flow analyses. The Adviser engages third-party valuation firms to provide independent prices on securities/instruments. The Adviser’s Valuation Committee (the “Valuation Committee”) reviews the assessments of the third-party valuation firms and provides any recommendations with respect to changes to the fair value of each investment in the portfolio and approves the fair value of each investment in the portfolio in good faith based on the input of the third-party valuation firms. If the Adviser reasonably believes a valuation from a pricing vendor is inaccurate or unreliable, the Valuation Committee will consider an “override” of the particular valuation. The Valuation Committee will consider all available information at its disposal prior to making a valuation determination.</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U.S. GAAP establishes a hierarchical disclosure framework which ranks the level of observability of market price inputs used in measuring investments at fair value. The observability of inputs is impacted by a number of factors, including the type of investment and the characteristics specific to the investment and state of the marketplace, including the existence and</w:t>
      </w:r>
    </w:p>
    <w:p>
      <w:pPr>
        <w:sectPr>
          <w:pgSz w:w="11900" w:h="16838" w:orient="portrait"/>
          <w:cols w:equalWidth="0" w:num="1">
            <w:col w:w="9240"/>
          </w:cols>
          <w:pgMar w:left="1320" w:top="495" w:right="1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40"/>
          </w:cols>
          <w:pgMar w:left="1320" w:top="495" w:right="1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transparency of transactions between market participants. Investments with readily available quoted prices or for which fair value can be measured from quoted prices in active markets generally have a higher degree of market price observability and a lesser degree of judgment applied in determining fair value.</w:t>
      </w:r>
    </w:p>
    <w:p>
      <w:pPr>
        <w:spacing w:after="0" w:line="6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Investments measured and reported at fair value are classified and disclosed based on the observability of inputs used in determination of fair values, as follows:</w:t>
      </w:r>
    </w:p>
    <w:p>
      <w:pPr>
        <w:spacing w:after="0" w:line="54" w:lineRule="exact"/>
        <w:rPr>
          <w:sz w:val="20"/>
          <w:szCs w:val="20"/>
          <w:color w:val="auto"/>
        </w:rPr>
      </w:pPr>
    </w:p>
    <w:p>
      <w:pPr>
        <w:ind w:left="660" w:right="40" w:hanging="329"/>
        <w:spacing w:after="0" w:line="258" w:lineRule="auto"/>
        <w:tabs>
          <w:tab w:leader="none" w:pos="660" w:val="left"/>
        </w:tabs>
        <w:numPr>
          <w:ilvl w:val="0"/>
          <w:numId w:val="18"/>
        </w:numPr>
        <w:rPr>
          <w:rFonts w:ascii="Arial" w:cs="Arial" w:eastAsia="Arial" w:hAnsi="Arial"/>
          <w:sz w:val="16"/>
          <w:szCs w:val="16"/>
          <w:color w:val="auto"/>
        </w:rPr>
      </w:pPr>
      <w:r>
        <w:rPr>
          <w:rFonts w:ascii="Times New Roman" w:cs="Times New Roman" w:eastAsia="Times New Roman" w:hAnsi="Times New Roman"/>
          <w:sz w:val="18"/>
          <w:szCs w:val="18"/>
          <w:color w:val="auto"/>
        </w:rPr>
        <w:t>Level 1—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w:t>
      </w:r>
    </w:p>
    <w:p>
      <w:pPr>
        <w:spacing w:after="0" w:line="75" w:lineRule="exact"/>
        <w:rPr>
          <w:rFonts w:ascii="Arial" w:cs="Arial" w:eastAsia="Arial" w:hAnsi="Arial"/>
          <w:sz w:val="16"/>
          <w:szCs w:val="16"/>
          <w:color w:val="auto"/>
        </w:rPr>
      </w:pPr>
    </w:p>
    <w:p>
      <w:pPr>
        <w:ind w:left="660" w:hanging="329"/>
        <w:spacing w:after="0" w:line="258" w:lineRule="auto"/>
        <w:tabs>
          <w:tab w:leader="none" w:pos="660" w:val="left"/>
        </w:tabs>
        <w:numPr>
          <w:ilvl w:val="0"/>
          <w:numId w:val="18"/>
        </w:numPr>
        <w:rPr>
          <w:rFonts w:ascii="Arial" w:cs="Arial" w:eastAsia="Arial" w:hAnsi="Arial"/>
          <w:sz w:val="16"/>
          <w:szCs w:val="16"/>
          <w:color w:val="auto"/>
        </w:rPr>
      </w:pPr>
      <w:r>
        <w:rPr>
          <w:rFonts w:ascii="Times New Roman" w:cs="Times New Roman" w:eastAsia="Times New Roman" w:hAnsi="Times New Roman"/>
          <w:sz w:val="18"/>
          <w:szCs w:val="18"/>
          <w:color w:val="auto"/>
        </w:rPr>
        <w:t>Level 2—inputs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w:t>
      </w:r>
    </w:p>
    <w:p>
      <w:pPr>
        <w:spacing w:after="0" w:line="75" w:lineRule="exact"/>
        <w:rPr>
          <w:rFonts w:ascii="Arial" w:cs="Arial" w:eastAsia="Arial" w:hAnsi="Arial"/>
          <w:sz w:val="16"/>
          <w:szCs w:val="16"/>
          <w:color w:val="auto"/>
        </w:rPr>
      </w:pPr>
    </w:p>
    <w:p>
      <w:pPr>
        <w:ind w:left="660" w:right="20" w:hanging="329"/>
        <w:spacing w:after="0" w:line="258" w:lineRule="auto"/>
        <w:tabs>
          <w:tab w:leader="none" w:pos="660" w:val="left"/>
        </w:tabs>
        <w:numPr>
          <w:ilvl w:val="0"/>
          <w:numId w:val="18"/>
        </w:numPr>
        <w:rPr>
          <w:rFonts w:ascii="Arial" w:cs="Arial" w:eastAsia="Arial" w:hAnsi="Arial"/>
          <w:sz w:val="16"/>
          <w:szCs w:val="16"/>
          <w:color w:val="auto"/>
        </w:rPr>
      </w:pPr>
      <w:r>
        <w:rPr>
          <w:rFonts w:ascii="Times New Roman" w:cs="Times New Roman" w:eastAsia="Times New Roman" w:hAnsi="Times New Roman"/>
          <w:sz w:val="18"/>
          <w:szCs w:val="18"/>
          <w:color w:val="auto"/>
        </w:rPr>
        <w:t>Level 3—inputs to the valuation methodology are unobservable and significant to overall fair value measurement. The inputs into the determination of fair value require significant management judgment or estimation. Financial 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w:t>
      </w:r>
    </w:p>
    <w:p>
      <w:pPr>
        <w:spacing w:after="0" w:line="7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w:t>
      </w:r>
    </w:p>
    <w:p>
      <w:pPr>
        <w:spacing w:after="0" w:line="72"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period in which the transfers occur. During the six month period ended March 31, 2026, there were no transfers.</w:t>
      </w:r>
    </w:p>
    <w:p>
      <w:pPr>
        <w:spacing w:after="0" w:line="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Fund’s investments measured at fair value on a recurring basis by the above fair value hierarchy levels as of March 31,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8"/>
        </w:trPr>
        <w:tc>
          <w:tcPr>
            <w:tcW w:w="3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5"/>
        </w:trPr>
        <w:tc>
          <w:tcPr>
            <w:tcW w:w="3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2,812,913</w:t>
            </w:r>
          </w:p>
        </w:tc>
        <w:tc>
          <w:tcPr>
            <w:tcW w:w="10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2,812,913</w:t>
            </w:r>
          </w:p>
        </w:tc>
      </w:tr>
      <w:tr>
        <w:trPr>
          <w:trHeight w:val="234"/>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120,714,556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120,714,556</w:t>
            </w:r>
          </w:p>
        </w:tc>
      </w:tr>
      <w:tr>
        <w:trPr>
          <w:trHeight w:val="225"/>
        </w:trPr>
        <w:tc>
          <w:tcPr>
            <w:tcW w:w="3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2,175,000</w:t>
            </w:r>
          </w:p>
        </w:tc>
      </w:tr>
      <w:tr>
        <w:trPr>
          <w:trHeight w:val="208"/>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Investments, at Fair Value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2,812,913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122,889,556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125,702,469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Fund’s investments at fair value for which the Fund has classified as Level 3 for the six month period ended March 31, 2026,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For the Six Months Ended March 31, 2026</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Collateralized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Loan</w:t>
            </w:r>
          </w:p>
        </w:tc>
        <w:tc>
          <w:tcPr>
            <w:tcW w:w="16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4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190,028,718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192,203,718</w:t>
            </w:r>
          </w:p>
        </w:tc>
        <w:tc>
          <w:tcPr>
            <w:tcW w:w="0" w:type="dxa"/>
            <w:vAlign w:val="bottom"/>
          </w:tcPr>
          <w:p>
            <w:pPr>
              <w:spacing w:after="0"/>
              <w:rPr>
                <w:sz w:val="1"/>
                <w:szCs w:val="1"/>
                <w:color w:val="auto"/>
              </w:rPr>
            </w:pPr>
          </w:p>
        </w:tc>
      </w:tr>
      <w:tr>
        <w:trPr>
          <w:trHeight w:val="21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2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14,513,070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14,513,070</w:t>
            </w:r>
          </w:p>
        </w:tc>
        <w:tc>
          <w:tcPr>
            <w:tcW w:w="0" w:type="dxa"/>
            <w:vAlign w:val="bottom"/>
          </w:tcPr>
          <w:p>
            <w:pPr>
              <w:spacing w:after="0"/>
              <w:rPr>
                <w:sz w:val="1"/>
                <w:szCs w:val="1"/>
                <w:color w:val="auto"/>
              </w:rPr>
            </w:pPr>
          </w:p>
        </w:tc>
      </w:tr>
      <w:tr>
        <w:trPr>
          <w:trHeight w:val="221"/>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Proceeds from sales and paydowns of investments </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(33,275,707)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(33,275,707)</w:t>
            </w:r>
          </w:p>
        </w:tc>
        <w:tc>
          <w:tcPr>
            <w:tcW w:w="0" w:type="dxa"/>
            <w:vAlign w:val="bottom"/>
          </w:tcPr>
          <w:p>
            <w:pPr>
              <w:spacing w:after="0"/>
              <w:rPr>
                <w:sz w:val="1"/>
                <w:szCs w:val="1"/>
                <w:color w:val="auto"/>
              </w:rPr>
            </w:pPr>
          </w:p>
        </w:tc>
      </w:tr>
      <w:tr>
        <w:trPr>
          <w:trHeight w:val="21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(12,835,266)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(12,835,266)</w:t>
            </w:r>
          </w:p>
        </w:tc>
        <w:tc>
          <w:tcPr>
            <w:tcW w:w="0" w:type="dxa"/>
            <w:vAlign w:val="bottom"/>
          </w:tcPr>
          <w:p>
            <w:pPr>
              <w:spacing w:after="0"/>
              <w:rPr>
                <w:sz w:val="1"/>
                <w:szCs w:val="1"/>
                <w:color w:val="auto"/>
              </w:rPr>
            </w:pPr>
          </w:p>
        </w:tc>
      </w:tr>
      <w:tr>
        <w:trPr>
          <w:trHeight w:val="221"/>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discount (premium)</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(37,716,591)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(37,716,591)</w:t>
            </w:r>
          </w:p>
        </w:tc>
        <w:tc>
          <w:tcPr>
            <w:tcW w:w="0" w:type="dxa"/>
            <w:vAlign w:val="bottom"/>
          </w:tcPr>
          <w:p>
            <w:pPr>
              <w:spacing w:after="0"/>
              <w:rPr>
                <w:sz w:val="1"/>
                <w:szCs w:val="1"/>
                <w:color w:val="auto"/>
              </w:rPr>
            </w:pPr>
          </w:p>
        </w:tc>
      </w:tr>
      <w:tr>
        <w:trPr>
          <w:trHeight w:val="199"/>
        </w:trPr>
        <w:tc>
          <w:tcPr>
            <w:tcW w:w="51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120,714,556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122,889,556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gridSpan w:val="2"/>
            <w:vMerge w:val="restart"/>
          </w:tcPr>
          <w:p>
            <w:pPr>
              <w:ind w:left="60"/>
              <w:spacing w:after="0" w:line="153" w:lineRule="exact"/>
              <w:rPr>
                <w:sz w:val="20"/>
                <w:szCs w:val="20"/>
                <w:color w:val="auto"/>
              </w:rPr>
            </w:pPr>
            <w:r>
              <w:rPr>
                <w:rFonts w:ascii="Times New Roman" w:cs="Times New Roman" w:eastAsia="Times New Roman" w:hAnsi="Times New Roman"/>
                <w:sz w:val="14"/>
                <w:szCs w:val="14"/>
                <w:color w:val="auto"/>
              </w:rPr>
              <w:t>Net change in unrealized appreciation (depreciation) included in earnings related to</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vMerge w:val="continue"/>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(42,245,835)</w:t>
            </w: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(42,245,835)</w:t>
            </w:r>
          </w:p>
        </w:tc>
        <w:tc>
          <w:tcPr>
            <w:tcW w:w="0" w:type="dxa"/>
            <w:vAlign w:val="bottom"/>
          </w:tcPr>
          <w:p>
            <w:pPr>
              <w:spacing w:after="0"/>
              <w:rPr>
                <w:sz w:val="1"/>
                <w:szCs w:val="1"/>
                <w:color w:val="auto"/>
              </w:rPr>
            </w:pPr>
          </w:p>
        </w:tc>
      </w:tr>
      <w:tr>
        <w:trPr>
          <w:trHeight w:val="171"/>
        </w:trPr>
        <w:tc>
          <w:tcPr>
            <w:tcW w:w="5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investments still held at the reporting date</w:t>
            </w:r>
          </w:p>
        </w:tc>
        <w:tc>
          <w:tcPr>
            <w:tcW w:w="1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$7,750,707 of return of capital on CLO investments from recurring cash flows and refinancings.</w:t>
      </w:r>
    </w:p>
    <w:p>
      <w:pPr>
        <w:sectPr>
          <w:pgSz w:w="11900" w:h="16838" w:orient="portrait"/>
          <w:cols w:equalWidth="0" w:num="1">
            <w:col w:w="9200"/>
          </w:cols>
          <w:pgMar w:left="1320" w:top="495" w:right="13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00"/>
          </w:cols>
          <w:pgMar w:left="1320" w:top="495" w:right="1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Fund’s financial liabilities disclosed, but not carried at fair value as of March 31, 2026 and the level of each financial liability within the fair value hierarchy: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340"/>
        </w:trPr>
        <w:tc>
          <w:tcPr>
            <w:tcW w:w="52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4"/>
        </w:trPr>
        <w:tc>
          <w:tcPr>
            <w:tcW w:w="2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Credit Facility </w:t>
            </w:r>
            <w:r>
              <w:rPr>
                <w:rFonts w:ascii="Times New Roman" w:cs="Times New Roman" w:eastAsia="Times New Roman" w:hAnsi="Times New Roman"/>
                <w:sz w:val="9"/>
                <w:szCs w:val="9"/>
                <w:color w:val="auto"/>
              </w:rPr>
              <w:t>(1)</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8,000,000</w:t>
            </w:r>
          </w:p>
        </w:tc>
      </w:tr>
      <w:tr>
        <w:trPr>
          <w:trHeight w:val="224"/>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7.125%</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Series B Convertible Preferred Shares </w:t>
            </w:r>
            <w:r>
              <w:rPr>
                <w:rFonts w:ascii="Times New Roman" w:cs="Times New Roman" w:eastAsia="Times New Roman" w:hAnsi="Times New Roman"/>
                <w:sz w:val="9"/>
                <w:szCs w:val="9"/>
                <w:color w:val="auto"/>
              </w:rPr>
              <w:t>(2)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3,360,965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3,360,965</w:t>
            </w:r>
          </w:p>
        </w:tc>
      </w:tr>
      <w:tr>
        <w:trPr>
          <w:trHeight w:val="235"/>
        </w:trPr>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7.375%</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Series D Term Preferred Shares </w:t>
            </w:r>
            <w:r>
              <w:rPr>
                <w:rFonts w:ascii="Times New Roman" w:cs="Times New Roman" w:eastAsia="Times New Roman" w:hAnsi="Times New Roman"/>
                <w:sz w:val="9"/>
                <w:szCs w:val="9"/>
                <w:color w:val="auto"/>
              </w:rPr>
              <w:t>(3)</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29,016,726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30,096,000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30,096,000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29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7.25% Series E Convertible Preferred Shares </w:t>
            </w:r>
            <w:r>
              <w:rPr>
                <w:rFonts w:ascii="Times New Roman" w:cs="Times New Roman" w:eastAsia="Times New Roman" w:hAnsi="Times New Roman"/>
                <w:sz w:val="9"/>
                <w:szCs w:val="9"/>
                <w:color w:val="auto"/>
              </w:rPr>
              <w:t>(2)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16,739,041</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16,368,800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16,368,800</w:t>
            </w:r>
          </w:p>
        </w:tc>
      </w:tr>
      <w:tr>
        <w:trPr>
          <w:trHeight w:val="208"/>
        </w:trPr>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57,272,767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57,825,765</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30,096,000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27,729,765</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right="500" w:hanging="253"/>
        <w:spacing w:after="0" w:line="280" w:lineRule="auto"/>
        <w:tabs>
          <w:tab w:leader="none" w:pos="2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carrying value of the credit facility generally approximates its fair value due to its variable interest rates. The credit facility is categorized as Level 3 within the hierarchy.</w:t>
      </w:r>
    </w:p>
    <w:p>
      <w:pPr>
        <w:spacing w:after="0" w:line="57" w:lineRule="exact"/>
        <w:rPr>
          <w:sz w:val="20"/>
          <w:szCs w:val="20"/>
          <w:color w:val="auto"/>
        </w:rPr>
      </w:pPr>
    </w:p>
    <w:p>
      <w:pPr>
        <w:ind w:left="260" w:right="240" w:hanging="242"/>
        <w:spacing w:after="0" w:line="298" w:lineRule="auto"/>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6"/>
          <w:szCs w:val="16"/>
          <w:color w:val="auto"/>
        </w:rPr>
        <w:t>) Fair value is estimated by discounting remaining payments using current market rates, plus the fair value of the embedded conversion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option as determined using an applicable pricing model.</w:t>
      </w:r>
    </w:p>
    <w:p>
      <w:pPr>
        <w:spacing w:after="0" w:line="43" w:lineRule="exact"/>
        <w:rPr>
          <w:sz w:val="20"/>
          <w:szCs w:val="20"/>
          <w:color w:val="auto"/>
        </w:rPr>
      </w:pPr>
    </w:p>
    <w:p>
      <w:pPr>
        <w:ind w:left="260" w:right="480" w:hanging="253"/>
        <w:spacing w:after="0" w:line="298" w:lineRule="auto"/>
        <w:tabs>
          <w:tab w:leader="none" w:pos="25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the Series D Term Preferred Shares, fair value is based upon the closing price on the last day of the period. The Series D Term Preferred Shares are listed on the New York Stock Exchange (trading symbol “CCID”).</w:t>
      </w:r>
    </w:p>
    <w:p>
      <w:pPr>
        <w:spacing w:after="0" w:line="3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Fund generally uses the following framework when determining the fair value of investments that are categorized as Level 3:</w:t>
      </w:r>
    </w:p>
    <w:p>
      <w:pPr>
        <w:spacing w:after="0" w:line="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CLOs is estimated based on various valuation models from third-party pricing services. Those analyses consider the current trading activity, position size, liquidity, current financial condition of the CLOs, the third-party financing environment, reinvestment rates, recovery lags, discount rates, and default forecasts. The Fund corroborates quotations from pricing services either with other available pricing data and subsequent or recent trading information. These securities are classified as Level 3.</w:t>
      </w:r>
    </w:p>
    <w:p>
      <w:pPr>
        <w:spacing w:after="0" w:line="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related to the significant unobservable inputs for Level 3 instruments which are carried at fair value as of March 31,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as of</w:t>
            </w:r>
          </w:p>
        </w:tc>
        <w:tc>
          <w:tcPr>
            <w:tcW w:w="60" w:type="dxa"/>
            <w:vAlign w:val="bottom"/>
          </w:tcPr>
          <w:p>
            <w:pPr>
              <w:spacing w:after="0"/>
              <w:rPr>
                <w:sz w:val="9"/>
                <w:szCs w:val="9"/>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50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20" w:type="dxa"/>
            <w:vAlign w:val="bottom"/>
            <w:tcBorders>
              <w:bottom w:val="single" w:sz="8" w:color="auto"/>
            </w:tcBorders>
            <w:gridSpan w:val="3"/>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3"/>
        </w:trPr>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119,416,284</w:t>
            </w:r>
          </w:p>
        </w:tc>
        <w:tc>
          <w:tcPr>
            <w:tcW w:w="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Consensus Pricing</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Indicative Quotes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0.60 %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1,298,272</w:t>
            </w:r>
          </w:p>
        </w:tc>
        <w:tc>
          <w:tcPr>
            <w:tcW w:w="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Discounted Cash Flow</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Discount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0" w:type="dxa"/>
            <w:vAlign w:val="bottom"/>
          </w:tcPr>
          <w:p>
            <w:pPr>
              <w:spacing w:after="0"/>
              <w:rPr>
                <w:sz w:val="1"/>
                <w:szCs w:val="1"/>
                <w:color w:val="auto"/>
              </w:rPr>
            </w:pPr>
          </w:p>
        </w:tc>
      </w:tr>
      <w:tr>
        <w:trPr>
          <w:trHeight w:val="221"/>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Market Approach</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Bid Price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0" w:type="dxa"/>
            <w:vAlign w:val="bottom"/>
          </w:tcPr>
          <w:p>
            <w:pPr>
              <w:spacing w:after="0"/>
              <w:rPr>
                <w:sz w:val="1"/>
                <w:szCs w:val="1"/>
                <w:color w:val="auto"/>
              </w:rPr>
            </w:pPr>
          </w:p>
        </w:tc>
      </w:tr>
      <w:tr>
        <w:trPr>
          <w:trHeight w:val="169"/>
        </w:trPr>
        <w:tc>
          <w:tcPr>
            <w:tcW w:w="2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122,889,556</w:t>
            </w: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Fund’s investments in CLOs are indicative quotes. Significant decreases in indicative quotes may result in a significantly lower fair value measurement. The Fund’s Real Estate investment is being valued based on an indicative bid received.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November 28, 2022, the Fund’s Board of Trustees, including a majority of the Trustees who are not “interested persons” as that term is defined in the 1940 Act, as amended, approved the Investment Advisory Agreement, subject to Shareholder approval. The Board weighed a number of factors in reaching its decision to approve the Investment Advisory Agreement, including, without limitation, the history, reputation, and resources of CGCIM, prior performance results achieved by CGCIM, and quality of services to be provided by CGCIM. The Board considered CGCIM’s expertise in managing collateralized loan obligation securities.</w:t>
      </w:r>
    </w:p>
    <w:p>
      <w:pPr>
        <w:spacing w:after="0" w:line="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Shareholders approved the Investment Advisory Agreement on June 15, 2023 and it became effective on July 14, 2023, at which time the original Investment Advisory Agreement between the Fund and Oakline Advisors, LLC terminated. Pursuant to the Investment Advisory Agreement, by and between the Fund and the Adviser, and in consideration of the advisory services provided by the Adviser to the Fund, the Adviser is entitled to a fee consisting of two components—a base management fee (the “Management Fee”) and an incentive fee (the “Incentive Fee”).</w:t>
      </w:r>
    </w:p>
    <w:p>
      <w:pPr>
        <w:spacing w:after="0" w:line="7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sectPr>
          <w:pgSz w:w="11900" w:h="16838" w:orient="portrait"/>
          <w:cols w:equalWidth="0" w:num="1">
            <w:col w:w="9160"/>
          </w:cols>
          <w:pgMar w:left="1320" w:top="495" w:right="1419" w:bottom="1440" w:gutter="0" w:footer="0" w:header="0"/>
        </w:sectPr>
      </w:pP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160"/>
          </w:cols>
          <w:pgMar w:left="1320" w:top="495" w:right="14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spacing w:after="0" w:line="8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Fund pays its Adviser an incentive fee with respect to its pre-incentive fee net investment income in each calendar quarter as follows:</w:t>
      </w:r>
    </w:p>
    <w:p>
      <w:pPr>
        <w:spacing w:after="0" w:line="54" w:lineRule="exact"/>
        <w:rPr>
          <w:sz w:val="20"/>
          <w:szCs w:val="20"/>
          <w:color w:val="auto"/>
        </w:rPr>
      </w:pPr>
    </w:p>
    <w:p>
      <w:pPr>
        <w:ind w:left="660" w:right="200" w:hanging="329"/>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based on pre-incentive fee net investment income in any calendar quarter in which its pre-incentive fee net investment income does not exceed the hurdle rate of 2.00%;</w:t>
      </w:r>
    </w:p>
    <w:p>
      <w:pPr>
        <w:spacing w:after="0" w:line="53" w:lineRule="exact"/>
        <w:rPr>
          <w:rFonts w:ascii="Times New Roman" w:cs="Times New Roman" w:eastAsia="Times New Roman" w:hAnsi="Times New Roman"/>
          <w:sz w:val="18"/>
          <w:szCs w:val="18"/>
          <w:color w:val="auto"/>
        </w:rPr>
      </w:pPr>
    </w:p>
    <w:p>
      <w:pPr>
        <w:ind w:left="660" w:right="100" w:hanging="329"/>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portion of the Fund’s pre-incentive fee net investment income that exceeds the hurdle rate but is less than or equal to 2.4242% (the “catch-up”) is payable to the Adviser if the Fund’s pre-incentive fee net investment income, expressed as a percentage of the Fund’s net assets in respect of the relevant calendar quarter, exceeds the hurdle rate but is less than or equal to 2.4242% (9.6968% annualized). The “catch-up” provision is intended to provide the Adviser with an incentive fee of 17.5% on all of the Fund’s pre-incentive fee net investment income when the Fund’s pre-incentive fee net investment income reaches 2.4242% of net assets; and</w:t>
      </w:r>
    </w:p>
    <w:p>
      <w:pPr>
        <w:spacing w:after="0" w:line="79" w:lineRule="exact"/>
        <w:rPr>
          <w:rFonts w:ascii="Times New Roman" w:cs="Times New Roman" w:eastAsia="Times New Roman" w:hAnsi="Times New Roman"/>
          <w:sz w:val="18"/>
          <w:szCs w:val="18"/>
          <w:color w:val="auto"/>
        </w:rPr>
      </w:pPr>
    </w:p>
    <w:p>
      <w:pPr>
        <w:ind w:left="660" w:hanging="329"/>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the portion of the Fund’s pre-incentive fee net investment income that exceeds the “catch-up” will be payable to the Adviser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the Adviser.</w:t>
      </w:r>
    </w:p>
    <w:p>
      <w:pPr>
        <w:spacing w:after="0" w:line="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 period ended March 31, 2026, the management fee was $1,572,708 and the incentive fee related to pre-incentive net investment income was $253,737.</w:t>
      </w:r>
    </w:p>
    <w:p>
      <w:pPr>
        <w:spacing w:after="0" w:line="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$393,621 and $253,737 were included in management fee payable and incentive fee payable, respectively, in the accompanying Statement of Assets and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Adviser and the Fund entered into an Expense Limitation Agreement under which the Adviser had agreed contractually to waive its Management Fee and/or reimburse the Fund’s operating expenses on a monthly basis to the extent that the Fund’s monthly total annualized fund operating expenses (excluding (i) expenses directly related to the costs of making investments, including interest and structuring costs for borrowings and line(s) of credit, taxes, brokerage costs, the Fund’s proportionate share of expenses related to co-investments, litigation and extraordinary expenses, (ii) Incentive Fees, expenses related to equity or debt offerings, and (iii) expenses associated with the Transaction Agreement, including expenses related to the liquidation as defined therein) in respect of the relevant month not to exceed 2.50% of the Fund’s average daily net assets. The Expense Limitation Agreement terminated based on its terms on August 17, 2023, which was the date that 75% of the Fund’s gross assets were invested in collateralized loan obligation equity and debt investments.</w:t>
      </w:r>
    </w:p>
    <w:p>
      <w:pPr>
        <w:spacing w:after="0" w:line="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CGCIM also had a Fee Waiver Agreement under which it had agreed to irrevocably waive the portion of its management and incentive fees on Fund managed assets invested in exchange traded funds through January 12, 2024 (the “Termination Date”), as the Fund’s portfolio transitioned to the new investment strategy. CGCIM was not entitled to recoup any waived fees under the Fee Waiver Agreement. For the period from July 14, 2023, the date </w:t>
      </w:r>
      <w:r>
        <w:rPr>
          <w:rFonts w:ascii="Times New Roman" w:cs="Times New Roman" w:eastAsia="Times New Roman" w:hAnsi="Times New Roman"/>
          <w:sz w:val="18"/>
          <w:szCs w:val="18"/>
          <w:color w:val="auto"/>
          <w:highlight w:val="white"/>
        </w:rPr>
        <w:t>CGCIM replaced Oakline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Fund’s new investment adviser, through the Termination Date, the Fund did not have any investments in exchange traded funds, and thus no management or incentive fees were waived under the Fee Waiver Agreement.</w:t>
      </w:r>
    </w:p>
    <w:p>
      <w:pPr>
        <w:sectPr>
          <w:pgSz w:w="11900" w:h="16838" w:orient="portrait"/>
          <w:cols w:equalWidth="0" w:num="1">
            <w:col w:w="9240"/>
          </w:cols>
          <w:pgMar w:left="1320" w:top="49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40"/>
          </w:cols>
          <w:pgMar w:left="1320" w:top="495" w:right="1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w:t>
      </w:r>
      <w:r>
        <w:rPr>
          <w:rFonts w:ascii="Arial" w:cs="Arial" w:eastAsia="Arial" w:hAnsi="Arial"/>
          <w:sz w:val="16"/>
          <w:szCs w:val="16"/>
          <w:color w:val="auto"/>
        </w:rPr>
        <w:t>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Trustees</w:t>
      </w:r>
    </w:p>
    <w:p>
      <w:pPr>
        <w:spacing w:after="0" w:line="1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Fund’s Board of Trustees currently consists of five members, three of whom are Independent Trustees. The Board of Trustees has established an Audit Committee, a Nominating and Governance Committee and an Independent Trustees Committee, the members of each of which consist entirely of the Fund’s Independent Trustees. The Board of Trustees may establish additional committees in the future. During the six month period ended March 31, 2026, the Fund incurred $62,329 in fees and expenses associated with its Independent Trustees' services on the Fund's Board of Trustees and its committees. As of March 31, 2026, no fees or expenses associated with the Fund’s Independent Trustees were payable.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Concentration</w:t>
      </w:r>
    </w:p>
    <w:p>
      <w:pPr>
        <w:spacing w:after="0" w:line="1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Related parties owned approximately 24% of the Fund's total outstanding shares as of March 31, 2026. Related parties may include, but are not limited to, the Adviser and its affiliates, affiliated broker dealers, fund of funds, and directors or employees.</w:t>
      </w:r>
    </w:p>
    <w:p>
      <w:pPr>
        <w:spacing w:after="0" w:line="64" w:lineRule="exact"/>
        <w:rPr>
          <w:sz w:val="20"/>
          <w:szCs w:val="20"/>
          <w:color w:val="auto"/>
        </w:rPr>
      </w:pPr>
    </w:p>
    <w:p>
      <w:pPr>
        <w:ind w:right="7700" w:firstLine="7"/>
        <w:spacing w:after="0" w:line="399" w:lineRule="auto"/>
        <w:tabs>
          <w:tab w:leader="none" w:pos="1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 Investment Risks</w:t>
      </w:r>
    </w:p>
    <w:p>
      <w:pPr>
        <w:spacing w:after="0"/>
        <w:rPr>
          <w:sz w:val="20"/>
          <w:szCs w:val="20"/>
          <w:color w:val="auto"/>
        </w:rPr>
      </w:pPr>
      <w:r>
        <w:rPr>
          <w:rFonts w:ascii="Times New Roman" w:cs="Times New Roman" w:eastAsia="Times New Roman" w:hAnsi="Times New Roman"/>
          <w:sz w:val="18"/>
          <w:szCs w:val="18"/>
          <w:i w:val="1"/>
          <w:iCs w:val="1"/>
          <w:color w:val="auto"/>
        </w:rPr>
        <w:t>Portfolio Fair Value Risk</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Investment Company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 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 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Conflicts of Interest Risk—Allocation of Investment Opportunities</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Adviser has adopted allocation procedures that are intended to treat each fund they advise in a manner that, over a period of time, is fair and equitable. The Adviser and its affiliates currently provide investment advisory and administration services and may provide in the future similar services to other entities (collectively, “Advised Funds”).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 (d) 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w:t>
      </w:r>
    </w:p>
    <w:p>
      <w:pPr>
        <w:sectPr>
          <w:pgSz w:w="11900" w:h="16838" w:orient="portrait"/>
          <w:cols w:equalWidth="0" w:num="1">
            <w:col w:w="9220"/>
          </w:cols>
          <w:pgMar w:left="1320" w:top="495" w:right="1359" w:bottom="1440" w:gutter="0" w:footer="0" w:header="0"/>
        </w:sect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20"/>
          </w:cols>
          <w:pgMar w:left="1320" w:top="495" w:right="1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such security; (vi) the nature of the security or the transaction, including minimum investment amounts and the source of the opportunity; (vii) current and anticipated market and general economic conditions; (viii) existing positions in a borrower/loan/ security; and (ix) prior positions in a borrower/loan/security. Nevertheless, it is possible that the Fund may not be given the opportunity to participate in certain investments made by investment funds managed by investment managers affiliated with the Adviser.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Collateralized Loan Obligations</w:t>
      </w:r>
    </w:p>
    <w:p>
      <w:pPr>
        <w:spacing w:after="0" w:line="1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Fund invests in CLOs.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w:t>
      </w:r>
    </w:p>
    <w:p>
      <w:pPr>
        <w:spacing w:after="0" w:line="2" w:lineRule="exact"/>
        <w:rPr>
          <w:sz w:val="20"/>
          <w:szCs w:val="20"/>
          <w:color w:val="auto"/>
        </w:rPr>
      </w:pPr>
    </w:p>
    <w:p>
      <w:pPr>
        <w:jc w:val="both"/>
        <w:ind w:firstLine="7"/>
        <w:spacing w:after="0" w:line="253"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Covenant-Lite Loans Risk</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Securities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Yield Investment Risk</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CLO equity and junior debt securities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Default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 is subject to risks associated with defaults on an underlying asset held by a CLO.</w:t>
      </w:r>
    </w:p>
    <w:p>
      <w:pPr>
        <w:spacing w:after="0" w:line="117" w:lineRule="exact"/>
        <w:rPr>
          <w:sz w:val="20"/>
          <w:szCs w:val="20"/>
          <w:color w:val="auto"/>
        </w:rPr>
      </w:pPr>
    </w:p>
    <w:p>
      <w:pPr>
        <w:ind w:left="1300" w:right="60" w:hanging="321"/>
        <w:spacing w:after="0" w:line="25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w:t>
      </w:r>
    </w:p>
    <w:p>
      <w:pPr>
        <w:sectPr>
          <w:pgSz w:w="11900" w:h="16838" w:orient="portrait"/>
          <w:cols w:equalWidth="0" w:num="1">
            <w:col w:w="9240"/>
          </w:cols>
          <w:pgMar w:left="1320" w:top="495" w:right="1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40"/>
          </w:cols>
          <w:pgMar w:left="1320" w:top="495" w:right="1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left="1300" w:right="160"/>
        <w:spacing w:after="0" w:line="253" w:lineRule="auto"/>
        <w:rPr>
          <w:sz w:val="20"/>
          <w:szCs w:val="20"/>
          <w:color w:val="auto"/>
        </w:rPr>
      </w:pPr>
      <w:r>
        <w:rPr>
          <w:rFonts w:ascii="Times New Roman" w:cs="Times New Roman" w:eastAsia="Times New Roman" w:hAnsi="Times New Roman"/>
          <w:sz w:val="18"/>
          <w:szCs w:val="18"/>
          <w:color w:val="auto"/>
        </w:rPr>
        <w:t>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w:t>
      </w:r>
    </w:p>
    <w:p>
      <w:pPr>
        <w:spacing w:after="0" w:line="86" w:lineRule="exact"/>
        <w:rPr>
          <w:sz w:val="20"/>
          <w:szCs w:val="20"/>
          <w:color w:val="auto"/>
        </w:rPr>
      </w:pPr>
    </w:p>
    <w:p>
      <w:pPr>
        <w:ind w:left="1300" w:right="40" w:hanging="321"/>
        <w:spacing w:after="0" w:line="258"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of the principal of such asset. Any such reduction in interest rates or principal will negatively affect the fair value of the Fund’s portfolio.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Non-Diversification Risk</w:t>
      </w:r>
    </w:p>
    <w:p>
      <w:pPr>
        <w:spacing w:after="0" w:line="11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Fund is a non-diversified investment company under the 1940 Act and expects to hold a narrower range of investments than a diversified fund under the 1940 Act.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Risk</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use of leverage, whether directly or indirectly through investments such as CLO equity or junior debt securities that inherently involve leverage, may magnify the Fund’s risk of loss. CLO equity or junior debt securities are very highly leveraged (with CLO equity securities typically being leveraged ten times), and therefore the CLO securities in which the Fund invests are subject to a higher degree of loss since the use of leverage magnifies losses.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Management Personnel of the Adviser</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Conflicts of Interest Risk</w:t>
      </w:r>
    </w:p>
    <w:p>
      <w:pPr>
        <w:spacing w:after="0" w:line="1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Generally, there is no public market for the CLO investments the Fund targets. As such, the Fund may not be able to sell such investments quickly, or at all. If the Fund is able to sell such investments, the prices the Fund receives may not reflect the Adviser’s assessment of their fair value or the amount paid for such investments by the Fund.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Adviser’s Incentive Fee Risk</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w:t>
      </w:r>
    </w:p>
    <w:p>
      <w:pPr>
        <w:sectPr>
          <w:pgSz w:w="11900" w:h="16838" w:orient="portrait"/>
          <w:cols w:equalWidth="0" w:num="1">
            <w:col w:w="9200"/>
          </w:cols>
          <w:pgMar w:left="1320" w:top="495" w:right="1379" w:bottom="1440" w:gutter="0" w:footer="0" w:header="0"/>
        </w:sect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00"/>
          </w:cols>
          <w:pgMar w:left="1320" w:top="495" w:right="1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1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and tariffs,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an escalation in conflict in the Middle East or between Russia and Ukraine, could lead to disruption, instability and volatility in the global markets.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 Unfavorable economic conditions also would be expected to increase our funding costs, limit our access to the capital markets or result in a decision by lenders not to extend credit to us.</w:t>
      </w:r>
    </w:p>
    <w:p>
      <w:pPr>
        <w:spacing w:after="0" w:line="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Current and historic market turmoil has illustrated that market environments may, at any time, be characterized by uncertainty, volatility and instability. For example, the outbreak of COVID-19 caused materially reduced consumer demand and economic output, disrupting supply chains, resulting in market closures, travel restrictions and quarantines, and adversely impacting local and global economies. As with other serious economic disruptions, governmental authorities and regulators are responding to this crisis with significant fiscal and monetary policy changes, including by providing direct capital infusions into companies, introducing new monetary programs and considerably lowering interest rates, which, in some cases resulted in negative interest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senior secured loans underlying the CLOs in which the Fund invests typically have floating interest rates. A fluctuating interest rate environment may increase loan defaults, resulting in losses for the CLOs in which the Fund invests. In addition, fluctuating interest rates may lead to higher prepayment rates, as corporate borrowers look to avoid escalating interest payments or refinance floating rate loans.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the Fund holds.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w:t>
      </w:r>
    </w:p>
    <w:p>
      <w:pPr>
        <w:spacing w:after="0" w:line="119" w:lineRule="exact"/>
        <w:rPr>
          <w:sz w:val="20"/>
          <w:szCs w:val="20"/>
          <w:color w:val="auto"/>
        </w:rPr>
      </w:pPr>
    </w:p>
    <w:p>
      <w:pPr>
        <w:ind w:right="300" w:firstLine="648"/>
        <w:spacing w:after="0" w:line="289" w:lineRule="auto"/>
        <w:rPr>
          <w:sz w:val="20"/>
          <w:szCs w:val="20"/>
          <w:color w:val="auto"/>
        </w:rPr>
      </w:pPr>
      <w:r>
        <w:rPr>
          <w:rFonts w:ascii="Times New Roman" w:cs="Times New Roman" w:eastAsia="Times New Roman" w:hAnsi="Times New Roman"/>
          <w:sz w:val="17"/>
          <w:szCs w:val="17"/>
          <w:color w:val="auto"/>
        </w:rPr>
        <w:t>Government regulation and/or intervention may change the way the Fund is regulated, affect the expenses incurred directly by the Fund, affect the value of its investments and limit the Fund’s ability to achieve its investment objective. Government regulation may change frequently and may have significant adverse consequences. Moreover, government</w:t>
      </w:r>
    </w:p>
    <w:p>
      <w:pPr>
        <w:sectPr>
          <w:pgSz w:w="11900" w:h="16838" w:orient="portrait"/>
          <w:cols w:equalWidth="0" w:num="1">
            <w:col w:w="9220"/>
          </w:cols>
          <w:pgMar w:left="1320" w:top="495" w:right="1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20"/>
          </w:cols>
          <w:pgMar w:left="1320" w:top="495" w:right="1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regulation may have unpredictable and unintended effects. In addition to exposing the Fund to potential new costs and expenses, additional regulation or changes to existing regulation may also require changes to the Fund’s investment practices.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Credit risk relates to the ability of the borrower under an instrument to make interest and principal payments as they become due. If (1) a CLO in which the Fund invests, (2) an underlying asset of any such CLO or (3) any other type of credit investment in the Fund’s portfolio declines in price or fails to pay interest or principal when due because the issuer or debtor, as the case may be, experiences a decline in its financial status, our income, NAV and/or market price would be adversely impacted.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Spread Risk</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Credit spread risk is the risk that credit spreads (i.e., the difference in yield between securities that is due to differences in their credit quality) may increase when the market expects below-investment-grade bonds to default more frequently. Widening credit spreads may quickly reduce the market values of below-investment-grade and unrated securities. In recent years, the U.S. capital markets experienced extreme volatility and disruption following the spread of COVID-19, which increased the spread between yields realized on risk-free and higher risk securities, resulting in illiquidity in parts of the capital markets. Central banks and governments played a key role in reintroducing liquidity to parts of the capital markets. Future exits of these financial institutions from the market may reintroduce temporary illiquidity. These and future market disruptions and/ or illiquidity would be expected to have an adverse effect on the Fund’s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Risk</w:t>
      </w:r>
    </w:p>
    <w:p>
      <w:pPr>
        <w:spacing w:after="0" w:line="1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assets underlying the CLO securities are subject to prepayment by the underlying corporate borrowers. In addition, the CLO securities and related investments are subject to prepayment risk. If the Fund or a CLO collateral manager is unable to reinvest prepaid amounts in a new investment with an expected rate of return at least equal to that of the investment repaid, the Fund’s investment performance will be adversely impacted.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Risk</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risk relates to the change in value of equity securities as they relate to increases or decreases in the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11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Foreign exchange rate risk relates to the change in the U.S. dollar value of a security held that is denominated in a foreign currency. The U.S. dollar value of a foreign currency denominated security will decrease as the dollar appreciates against the currency, while the U.S. dollar value will increase as the dollar depreciates against the currency.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119" w:lineRule="exact"/>
        <w:rPr>
          <w:sz w:val="20"/>
          <w:szCs w:val="20"/>
          <w:color w:val="auto"/>
        </w:rPr>
      </w:pPr>
    </w:p>
    <w:p>
      <w:pPr>
        <w:ind w:firstLine="729"/>
        <w:spacing w:after="0" w:line="254"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120" w:firstLine="693"/>
        <w:spacing w:after="0" w:line="261" w:lineRule="auto"/>
        <w:rPr>
          <w:sz w:val="20"/>
          <w:szCs w:val="20"/>
          <w:color w:val="auto"/>
        </w:rPr>
      </w:pPr>
      <w:r>
        <w:rPr>
          <w:rFonts w:ascii="Times New Roman" w:cs="Times New Roman" w:eastAsia="Times New Roman" w:hAnsi="Times New Roman"/>
          <w:sz w:val="18"/>
          <w:szCs w:val="18"/>
          <w:color w:val="auto"/>
        </w:rPr>
        <w:t>In accordance with the Investment Company Act, the Fund is currently only allowed to borrow amounts such that its asset coverage, as defined in the Investment Company Act, is 300% or more for leverage obtained through debt or 200% or more for leverage obtained through preferred shares. As of March 31, 2026, asset coverage (exclusive of preferred shares) was 1,623% and asset coverage (inclusive of preferred shares) was 220%.</w:t>
      </w:r>
    </w:p>
    <w:p>
      <w:pPr>
        <w:sectPr>
          <w:pgSz w:w="11900" w:h="16838" w:orient="portrait"/>
          <w:cols w:equalWidth="0" w:num="1">
            <w:col w:w="9240"/>
          </w:cols>
          <w:pgMar w:left="1320" w:top="495" w:right="1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40"/>
          </w:cols>
          <w:pgMar w:left="1320" w:top="495" w:right="1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July 11, 2025, the Fund entered into a revolving credit and security agreement (the “Credit Facility”). The Credit Facility provides for maximum borrowings up to $30 million and includes an uncommitted accordion feature that permits increases up to $50 million, subject to lender consent and other conditions.</w:t>
      </w:r>
    </w:p>
    <w:p>
      <w:pPr>
        <w:spacing w:after="0" w:line="26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Credit Facility has an initial stated maturity of 36 months from the closing date, with the option for the Fund to extend such maturity on up to two occasions for additional one-year terms, subject to certain conditions. Proceeds of the facility may be used for general corporate purposes, including investment activities and working capital needs, subject to compliance with the asset coverage requirements under the Investment Company Act of 1940.</w:t>
      </w:r>
    </w:p>
    <w:p>
      <w:pPr>
        <w:spacing w:after="0" w:line="177"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Borrowings under the Credit Facility bear interest, at the Fund’s election, at either (i) Term SOFR plus 3.25%, or (ii) the Prime Rate plus 3.25%. The facility includes customary financial and restrictive covenants, including leverage, asset coverage, and liquidity requirements, as well as restrictions on incurrence of additional debt and liens. As of March 31, 2026, the Fund was in compliance with all covenants and other requirements under the Credit Facility. The obligations under the Credit Facility are secured by a first priority lien on substantially all of the Fund’s portfolio investments, subject to customary exceptions.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Facility consisted of the following as of March 31, 2026:</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Facility</w:t>
            </w:r>
          </w:p>
        </w:tc>
        <w:tc>
          <w:tcPr>
            <w:tcW w:w="2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2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Pr>
          <w:p>
            <w:pPr>
              <w:spacing w:after="0"/>
              <w:rPr>
                <w:sz w:val="16"/>
                <w:szCs w:val="16"/>
                <w:color w:val="auto"/>
              </w:rPr>
            </w:pPr>
          </w:p>
        </w:tc>
        <w:tc>
          <w:tcPr>
            <w:tcW w:w="1180" w:type="dxa"/>
            <w:vAlign w:val="bottom"/>
          </w:tcPr>
          <w:p>
            <w:pPr>
              <w:jc w:val="center"/>
              <w:ind w:right="119"/>
              <w:spacing w:after="0" w:line="189" w:lineRule="exact"/>
              <w:rPr>
                <w:sz w:val="20"/>
                <w:szCs w:val="20"/>
                <w:color w:val="auto"/>
              </w:rPr>
            </w:pPr>
            <w:r>
              <w:rPr>
                <w:rFonts w:ascii="Times New Roman" w:cs="Times New Roman" w:eastAsia="Times New Roman" w:hAnsi="Times New Roman"/>
                <w:sz w:val="16"/>
                <w:szCs w:val="16"/>
                <w:b w:val="1"/>
                <w:bCs w:val="1"/>
                <w:color w:val="auto"/>
                <w:w w:val="96"/>
              </w:rPr>
              <w:t xml:space="preserve">Available </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Credit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480" w:hanging="253"/>
        <w:spacing w:after="0" w:line="282"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Available for borrowing is the Total Facility less Borrowings Outstanding, and is subject to compliance with applicable covenants and financial ratios.</w:t>
      </w:r>
    </w:p>
    <w:p>
      <w:pPr>
        <w:spacing w:after="0" w:line="58" w:lineRule="exact"/>
        <w:rPr>
          <w:sz w:val="20"/>
          <w:szCs w:val="20"/>
          <w:color w:val="auto"/>
        </w:rPr>
      </w:pPr>
    </w:p>
    <w:p>
      <w:pPr>
        <w:ind w:left="260" w:right="160" w:firstLine="774"/>
        <w:spacing w:after="0" w:line="250" w:lineRule="auto"/>
        <w:rPr>
          <w:sz w:val="20"/>
          <w:szCs w:val="20"/>
          <w:color w:val="auto"/>
        </w:rPr>
      </w:pPr>
      <w:r>
        <w:rPr>
          <w:rFonts w:ascii="Times New Roman" w:cs="Times New Roman" w:eastAsia="Times New Roman" w:hAnsi="Times New Roman"/>
          <w:sz w:val="18"/>
          <w:szCs w:val="18"/>
          <w:color w:val="auto"/>
        </w:rPr>
        <w:t>For the six month period ended March 31, 2026, $90,966 of interest expense related to the Credit Facility was included in interest expense on the Statement of Operations. Costs incurred in connection with the closing of the Credit Facility are being amortized to interest expense over the term of the Credit Facility. For the six month period ended March 31, 2026, the Fund recorded $122,376 of amortization of deferred issuance costs related to the Credit Facility.</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8.75% Series A Term Preferred Shares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October 24, 2023, the Fund issued 1,200,000 shares of 8.75% Series A Term Preferred Shares due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for aggregate gross proceeds of $30,000,000. On November 6, 2023, pursuant to the overallotment option granted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in the Underwriting Agreement, dated October 18, 2023, the Fund issued 80,000 additional shares for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$2,000,000. On November 30, 2023, the Fund issued an additional 800,000 shares for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 The shares are listed on the New York Stock Exchange under the symbol “CCIA”. On November 3,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 the Fund redeemed all of the outstanding 8.75% Series A Term Preferred Shares. The following 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summarizes the details of the Fund’s Series A Term Preferred Shares: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Initial Issuance</w:t>
            </w: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Series A Term</w:t>
            </w:r>
          </w:p>
        </w:tc>
        <w:tc>
          <w:tcPr>
            <w:tcW w:w="13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10/24/2023</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11/3/2025</w:t>
            </w: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8.75 %</w:t>
            </w: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2,080,000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52,000,000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13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40" w:firstLine="729"/>
        <w:spacing w:after="0" w:line="282" w:lineRule="auto"/>
        <w:rPr>
          <w:sz w:val="20"/>
          <w:szCs w:val="20"/>
          <w:color w:val="auto"/>
        </w:rPr>
      </w:pPr>
      <w:r>
        <w:rPr>
          <w:rFonts w:ascii="Times New Roman" w:cs="Times New Roman" w:eastAsia="Times New Roman" w:hAnsi="Times New Roman"/>
          <w:sz w:val="18"/>
          <w:szCs w:val="18"/>
          <w:color w:val="auto"/>
        </w:rPr>
        <w:t>The redemption price of the Series A Term Preferred Shares was $25 per share, plus an amount equal to all unpaid dividends and distributions on each share accumulated to (but excluding) the Redemption Date.</w:t>
      </w:r>
    </w:p>
    <w:p>
      <w:pPr>
        <w:spacing w:after="0" w:line="54" w:lineRule="exact"/>
        <w:rPr>
          <w:sz w:val="20"/>
          <w:szCs w:val="20"/>
          <w:color w:val="auto"/>
        </w:rPr>
      </w:pPr>
    </w:p>
    <w:p>
      <w:pPr>
        <w:ind w:right="20" w:firstLine="729"/>
        <w:spacing w:after="0" w:line="254" w:lineRule="auto"/>
        <w:rPr>
          <w:sz w:val="20"/>
          <w:szCs w:val="20"/>
          <w:color w:val="auto"/>
        </w:rPr>
      </w:pPr>
      <w:r>
        <w:rPr>
          <w:rFonts w:ascii="Times New Roman" w:cs="Times New Roman" w:eastAsia="Times New Roman" w:hAnsi="Times New Roman"/>
          <w:sz w:val="18"/>
          <w:szCs w:val="18"/>
          <w:color w:val="auto"/>
        </w:rPr>
        <w:t>The holders of Series A Term Preferred Shares were entitled to receive monthly dividends at a fixed annual rate of 8.75% of the Series A Liquidation Preference ($2.1875 per share per year), or the dividend rate. Cumulative cash dividends on each share of Series A Term Preferred Shares accumulated from and included the original issue date. Dividends on the Series A Term Preferred Shares were accrued daily, payable monthly in arrears, and included in Interest expense on the Statement of Operations. For the six month period ended March 31, 2026, $404,560 of dividend expense related to the Series A Term Preferred Shares was included in interest expense on the Statement of Operations. Costs incurred in connection with the issuance of the Series A Term Preferred Shares were amortized to interest expense over the term of the Series A Term Preferred Shares. For the six month period ended March 31, 2026, the Fund recorded $1,354,722 of amortization of deferred issuance costs related to the Series A Term Preferred Shares.</w:t>
      </w:r>
    </w:p>
    <w:p>
      <w:pPr>
        <w:sectPr>
          <w:pgSz w:w="11900" w:h="16838" w:orient="portrait"/>
          <w:cols w:equalWidth="0" w:num="1">
            <w:col w:w="9220"/>
          </w:cols>
          <w:pgMar w:left="1320" w:top="495" w:right="135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20"/>
          </w:cols>
          <w:pgMar w:left="1320" w:top="495" w:right="1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7.125% Series B Convertible Preferred Shares</w:t>
      </w:r>
    </w:p>
    <w:p>
      <w:pPr>
        <w:spacing w:after="0" w:line="121" w:lineRule="exact"/>
        <w:rPr>
          <w:sz w:val="20"/>
          <w:szCs w:val="20"/>
          <w:color w:val="auto"/>
        </w:rPr>
      </w:pPr>
    </w:p>
    <w:p>
      <w:pPr>
        <w:ind w:right="60" w:firstLine="729"/>
        <w:spacing w:after="0" w:line="254" w:lineRule="auto"/>
        <w:rPr>
          <w:sz w:val="20"/>
          <w:szCs w:val="20"/>
          <w:color w:val="auto"/>
        </w:rPr>
      </w:pPr>
      <w:r>
        <w:rPr>
          <w:rFonts w:ascii="Times New Roman" w:cs="Times New Roman" w:eastAsia="Times New Roman" w:hAnsi="Times New Roman"/>
          <w:sz w:val="18"/>
          <w:szCs w:val="18"/>
          <w:color w:val="auto"/>
        </w:rPr>
        <w:t>On August 27, 2024, the Fund issued 11,517 shares of 7.125% Series B Convertible Preferred Shares due August 27, 2029, in a private placement for aggregate gross proceeds of $11,517,000. The Series B Convertible Preferred Shares have a liquidation preference of $1,000.00 per share (the “Series B Liquidation Preference”), and pay a quarterly dividend at a fixed annual rate of 7.125% of the Series B Liquidation Preference, or $71.25 per share, per year. The Series B Convertible Preferred Shares rank senior to the common shares in priority of payment of dividends and as to the distribution of assets upon dissolution, liquidation, or winding up of the Fund’s affairs. The Series B Convertible Preferred Shares rank equal in priority with the Fund’s Series D Term Preferred Shares, and Series E Convertible Preferred Shares. The following table summarizes the details of the Fund’s Series B Convertible Preferred Shares: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Issuance</w:t>
            </w: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Series B Convertible</w:t>
            </w:r>
          </w:p>
        </w:tc>
        <w:tc>
          <w:tcPr>
            <w:tcW w:w="13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8/27/2024</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8/27/2029</w:t>
            </w: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7.125 %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11,517,000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13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729"/>
        <w:spacing w:after="0" w:line="254" w:lineRule="auto"/>
        <w:rPr>
          <w:sz w:val="20"/>
          <w:szCs w:val="20"/>
          <w:color w:val="auto"/>
        </w:rPr>
      </w:pPr>
      <w:r>
        <w:rPr>
          <w:rFonts w:ascii="Times New Roman" w:cs="Times New Roman" w:eastAsia="Times New Roman" w:hAnsi="Times New Roman"/>
          <w:sz w:val="18"/>
          <w:szCs w:val="18"/>
          <w:color w:val="auto"/>
        </w:rPr>
        <w:t>At any time on or after February 27, 2025, at the Fund’s sole option, the Fund may redeem, from time to time, the outstanding Series B Convertible Preferred Shares in whole or in part, at a price per share equal to the sum of the Series B Liquidation Preference plus an amount equal to accumulated but unpaid dividends, if any, on such shares. The Fund is required to redeem, all outstanding Series B Convertible Preferred Shares on August 27, 2029 (the “Series B Term Redemption Date”), at a redemption price equal to the Series B Liquidation Preference plus an amount equal to accumulated but unpaid dividends, if any, to the date of redemption. The Fund cannot effect any amendment, alteration or repeal its obligation to redeem all of the Series B Convertible Preferred Shares on the Series B Term Redemption Date without the prior, unanimous approval of the holders of the Series B Convertible Preferred Shares.</w:t>
      </w:r>
    </w:p>
    <w:p>
      <w:pPr>
        <w:spacing w:after="0" w:line="84" w:lineRule="exact"/>
        <w:rPr>
          <w:sz w:val="20"/>
          <w:szCs w:val="20"/>
          <w:color w:val="auto"/>
        </w:rPr>
      </w:pPr>
    </w:p>
    <w:p>
      <w:pPr>
        <w:ind w:firstLine="729"/>
        <w:spacing w:after="0" w:line="252" w:lineRule="auto"/>
        <w:rPr>
          <w:sz w:val="20"/>
          <w:szCs w:val="20"/>
          <w:color w:val="auto"/>
        </w:rPr>
      </w:pPr>
      <w:r>
        <w:rPr>
          <w:rFonts w:ascii="Times New Roman" w:cs="Times New Roman" w:eastAsia="Times New Roman" w:hAnsi="Times New Roman"/>
          <w:sz w:val="18"/>
          <w:szCs w:val="18"/>
          <w:color w:val="auto"/>
        </w:rPr>
        <w:t>Shareholders of the Series B Convertible Preferred Shares may opt to convert the shares at any time on or after the date six months after the issuance of the Series B Convertible Preferred Share into common shares equal to the Series B Liquidation Preference of the Series B Convertible Preferred Shares, plus an amount equal to accumulated but unpaid dividends, if any, divided by the Conversion Price. The “Series B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B Convertible Preferred Shares will increase to a fixed annual rate of 9.125% of the Series B Liquidation Preference until the date on which the Fund fulfills its delivery obligations. No holder of Series B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B Convertible Preferred Shares that is an investment company (as defined in the 1940 Act) or would be an investment company but for Section 3(c)(1) or 3(c)(7) of the 1940 Act may exercise its conversion privilege or be entitled to receive common Shares upon the exercise of its conversion privilege, to the extent (but only to the extent) that the receipt of such common Shares would cause such holder to become, directly or indirectly, a beneficial owner of more than 3% of the Fund's outstanding voting securities.</w:t>
      </w:r>
    </w:p>
    <w:p>
      <w:pPr>
        <w:spacing w:after="0" w:line="85" w:lineRule="exact"/>
        <w:rPr>
          <w:sz w:val="20"/>
          <w:szCs w:val="20"/>
          <w:color w:val="auto"/>
        </w:rPr>
      </w:pPr>
    </w:p>
    <w:p>
      <w:pPr>
        <w:ind w:right="160" w:firstLine="729"/>
        <w:spacing w:after="0" w:line="261" w:lineRule="auto"/>
        <w:rPr>
          <w:sz w:val="20"/>
          <w:szCs w:val="20"/>
          <w:color w:val="auto"/>
        </w:rPr>
      </w:pPr>
      <w:r>
        <w:rPr>
          <w:rFonts w:ascii="Times New Roman" w:cs="Times New Roman" w:eastAsia="Times New Roman" w:hAnsi="Times New Roman"/>
          <w:sz w:val="18"/>
          <w:szCs w:val="18"/>
          <w:color w:val="auto"/>
        </w:rPr>
        <w:t>For the six month period ended March 31, 2026, $125,285 of dividend expense related to the Series B Convertible Preferred Shares was included in interest expense in the Statement of Operations. Costs incurred in connection with the issuance of the Series B Convertible Preferred Shares were amortized to interest expense over the 12 months period following the initial issuance date.</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Series B Convertible Preferred Shares were recorded net of unamortized deferred issuance costs and included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on the Statement of Assets and Liabilities. The carrying value of the Series B Convertible Preferred Shares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$3,517,000. As of March 31, 2026, 8,000 shares have been converted into common shares of the Fund. The Fund’s Series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Shares balance as of March 31, 2026, was as follows:</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11"/>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xml:space="preserve">As of </w:t>
            </w:r>
            <w:r>
              <w:rPr>
                <w:rFonts w:ascii="Times New Roman" w:cs="Times New Roman" w:eastAsia="Times New Roman" w:hAnsi="Times New Roman"/>
                <w:sz w:val="17"/>
                <w:szCs w:val="17"/>
                <w:b w:val="1"/>
                <w:bCs w:val="1"/>
                <w:color w:val="auto"/>
              </w:rPr>
              <w:t>March 31, 2026</w:t>
            </w:r>
          </w:p>
        </w:tc>
      </w:tr>
      <w:tr>
        <w:trPr>
          <w:trHeight w:val="236"/>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Series B Liquidation Preference</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3,517,000</w:t>
            </w:r>
          </w:p>
        </w:tc>
      </w:tr>
      <w:tr>
        <w:trPr>
          <w:trHeight w:val="256"/>
        </w:trPr>
        <w:tc>
          <w:tcPr>
            <w:tcW w:w="3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Unamortized deferred issuance costs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Carrying value</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3,517,000</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Fair value</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3,360,965</w:t>
            </w:r>
          </w:p>
        </w:tc>
      </w:tr>
      <w:tr>
        <w:trPr>
          <w:trHeight w:val="256"/>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Fair value price per share</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955.63</w:t>
            </w:r>
          </w:p>
        </w:tc>
      </w:tr>
    </w:tbl>
    <w:p>
      <w:pPr>
        <w:spacing w:after="0" w:line="200" w:lineRule="exact"/>
        <w:rPr>
          <w:sz w:val="20"/>
          <w:szCs w:val="20"/>
          <w:color w:val="auto"/>
        </w:rPr>
      </w:pPr>
    </w:p>
    <w:p>
      <w:pPr>
        <w:sectPr>
          <w:pgSz w:w="11900" w:h="16838" w:orient="portrait"/>
          <w:cols w:equalWidth="0" w:num="1">
            <w:col w:w="9240"/>
          </w:cols>
          <w:pgMar w:left="1320" w:top="495" w:right="1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40"/>
          </w:cols>
          <w:pgMar w:left="1320" w:top="495" w:right="1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 of March 31, 2026, the deferred issuance costs related to the Series B Convertible Preferred Shares were fully amortized.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 Series C Convertible Preferred Shares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2025, the Fund issued 20,000 shares of 7.50% Series C Convertible Preferred Shares due January 31, 2030, in a private placement for aggregate net proceeds (before expenses) of approximately $18,600,000. The Series C Convertible Preferred Shares had a liquidation preference of $1,000.00 per share (the “Series C Liquidation Preference”), and paid a quarterly dividend at a fixed annual rate of 7.50% of the Series C Liquidation Preference, or $75.00 per share, per year. The Series C Convertible Preferred Shares ranked senior to the common shares in priority of payment of dividends and as to the distribution of assets upon dissolution, liquidation, or winding up of the Fund’s affairs. The Series C Convertible Preferred Shares ranked equal in priority with the Fund’s Series A Term Preferred Shares, Series B Convertible Preferred Shares, Series D Term Preferred Shares, and Series E Convertible Preferred Shares. On March 30, 2026 (the "Redemption Date"), the Fund redeemed all of the outstanding 7.50% Series C Convertible Preferred Shares. The following table summarizes the details of the Fund’s Series C Convertible Preferred Shares: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Issuance</w:t>
            </w: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Series C Convertible</w:t>
            </w:r>
          </w:p>
        </w:tc>
        <w:tc>
          <w:tcPr>
            <w:tcW w:w="13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1/31/2025</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3/30/2026</w:t>
            </w: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7.50 %</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13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firstLine="729"/>
        <w:spacing w:after="0" w:line="282" w:lineRule="auto"/>
        <w:rPr>
          <w:sz w:val="20"/>
          <w:szCs w:val="20"/>
          <w:color w:val="auto"/>
        </w:rPr>
      </w:pPr>
      <w:r>
        <w:rPr>
          <w:rFonts w:ascii="Times New Roman" w:cs="Times New Roman" w:eastAsia="Times New Roman" w:hAnsi="Times New Roman"/>
          <w:sz w:val="18"/>
          <w:szCs w:val="18"/>
          <w:color w:val="auto"/>
        </w:rPr>
        <w:t>The redemption price of the Series C Convertible Preferred Shares was $1,000 per share, plus an amount equal to all unpaid dividends and distributions on each share accumulated to (but excluding) the Redemption Date.</w:t>
      </w:r>
    </w:p>
    <w:p>
      <w:pPr>
        <w:spacing w:after="0" w:line="54" w:lineRule="exact"/>
        <w:rPr>
          <w:sz w:val="20"/>
          <w:szCs w:val="20"/>
          <w:color w:val="auto"/>
        </w:rPr>
      </w:pPr>
    </w:p>
    <w:p>
      <w:pPr>
        <w:ind w:right="180" w:firstLine="729"/>
        <w:spacing w:after="0" w:line="258" w:lineRule="auto"/>
        <w:rPr>
          <w:sz w:val="20"/>
          <w:szCs w:val="20"/>
          <w:color w:val="auto"/>
        </w:rPr>
      </w:pPr>
      <w:r>
        <w:rPr>
          <w:rFonts w:ascii="Times New Roman" w:cs="Times New Roman" w:eastAsia="Times New Roman" w:hAnsi="Times New Roman"/>
          <w:sz w:val="18"/>
          <w:szCs w:val="18"/>
          <w:color w:val="auto"/>
        </w:rPr>
        <w:t>For the six month period ended March 31, 2026, $747,193 of dividend expense related to the Series C Convertible Preferred Shares was included in interest expense in the Statement of Operations. Costs incurred in connection with the issuance of the Series C Convertible Preferred Shares were amortized to interest expense over the shorter of 12 months or the period the shares were outstanding. For the six month period ended March 31, 2026, the Fund recorded $513,838 of amortization of deferred issuance costs related to the Series C Convertible Preferred Shares.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7.375% Series D Term Preferred Shares</w:t>
      </w:r>
    </w:p>
    <w:p>
      <w:pPr>
        <w:spacing w:after="0" w:line="121"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On October 30, 2025, the Fund issued 1,200,000 shares of 7.375% Series D Term Preferred Shares (the “Series D Term Preferred Shares”) due October 30, 2028, for aggregate gross proceeds of $30,000,000. The shares are listed on the New York Stock Exchange under the symbol “CCID”. The Series D Term Preferred Shares rank equal in priority with the Fund’s Series B Convertible Preferred Shares, and Series E Convertible Preferred Shares. The following table summarizes the details of the Fund’s Series D Term Preferred Shares: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Initial Issuance</w:t>
            </w: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Series D Term</w:t>
            </w:r>
          </w:p>
        </w:tc>
        <w:tc>
          <w:tcPr>
            <w:tcW w:w="13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10/30/2025</w:t>
            </w:r>
          </w:p>
        </w:tc>
        <w:tc>
          <w:tcPr>
            <w:tcW w:w="12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10/30/2028</w:t>
            </w: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7.375 %</w:t>
            </w:r>
          </w:p>
        </w:tc>
        <w:tc>
          <w:tcPr>
            <w:tcW w:w="9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1,200,000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13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Each holder of Series D Term Preferred Shares is entitled to a liquidation preference of $25.00 per share (the “Series D Liquidation Preference”), plus an amount equal to accumulated but unpaid dividends, if any, on such shares (whether or not earned or declared, but excluding interest on such dividends) to, but excluding, the date fixed for such redemption. The Fund is required to redeem all outstanding shares of the Series D Term Preferred Shares on October 30, 2028 (the “Series D Mandatory Redemption Date”), at a redemption price equal to the Series D Liquidation Preference plus an amount equal to accumulated but unpaid dividends, if any, to the date of redemption. The Fund cannot effect any modification of or repeal its obligation to redeem the Series D Term Preferred Shares on the Series D Mandatory Redemption Date without the prior, unanimous approval of the holders of the Series D Term Preferred Shares. At any time on or after October 30, 2026, (the “Optional Redemption Date”), the Fund may, at its sole option, redeem the outstanding Series D Term Preferred Shares in whole or, from time to time, in part, at the Series D Liquidation Preference plus an amount equal to accumulated but unpaid dividends, if any, on such shares.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Series D Term Preferred Shares are entitled to receive monthly dividends at a fixed annual rate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7.375% of the Series D Liquidation Preference ($1.84375 per share per year), or the dividend rate. Cumulative cash dividends</w:t>
      </w:r>
    </w:p>
    <w:p>
      <w:pPr>
        <w:spacing w:after="0" w:line="234" w:lineRule="auto"/>
        <w:rPr>
          <w:sz w:val="20"/>
          <w:szCs w:val="20"/>
          <w:color w:val="auto"/>
        </w:rPr>
      </w:pPr>
      <w:r>
        <w:rPr>
          <w:rFonts w:ascii="Times New Roman" w:cs="Times New Roman" w:eastAsia="Times New Roman" w:hAnsi="Times New Roman"/>
          <w:sz w:val="18"/>
          <w:szCs w:val="18"/>
          <w:color w:val="auto"/>
        </w:rPr>
        <w:t>on each share of Series D Term Preferred Shares accumulate from, and including, the original issue date. Dividends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D Term Preferred Shares were accrued daily, payable monthly in arrears, and included in Interest expense 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ectPr>
          <w:pgSz w:w="11900" w:h="16838" w:orient="portrait"/>
          <w:cols w:equalWidth="0" w:num="1">
            <w:col w:w="9220"/>
          </w:cols>
          <w:pgMar w:left="1320" w:top="49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20"/>
          </w:cols>
          <w:pgMar w:left="1320" w:top="495" w:right="1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For the six month period ended March 31, 2026, $927,801 of dividend expense related to the Series D Term Preferred Shares was included in interest expense on the Statement of Operations. Costs incurred in connection with the issuance of the Series D Term Preferred Shares were amortized to interest expense over the term of the Series D Term Preferred Shares. For the six month period ended March 31, 2026, the Fund recorded $152,669 of amortization of deferred issuance costs related to the Series D Term Preferred Shares.</w:t>
      </w:r>
    </w:p>
    <w:p>
      <w:pPr>
        <w:spacing w:after="0" w:line="18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Series D Term Preferred Shares are recorded net of unamortized deferred issuance costs and included as a liability on the Statement of Assets and Liabilities. The carrying value of the Series D Term Preferred Shares is $29,016,726. The Fund’s Series D Term Preferred Shares balances as of March 31, 2026, were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211"/>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xml:space="preserve">As of </w:t>
            </w:r>
            <w:r>
              <w:rPr>
                <w:rFonts w:ascii="Times New Roman" w:cs="Times New Roman" w:eastAsia="Times New Roman" w:hAnsi="Times New Roman"/>
                <w:sz w:val="17"/>
                <w:szCs w:val="17"/>
                <w:b w:val="1"/>
                <w:bCs w:val="1"/>
                <w:color w:val="auto"/>
              </w:rPr>
              <w:t>March 31, 2026</w:t>
            </w:r>
          </w:p>
        </w:tc>
      </w:tr>
      <w:tr>
        <w:trPr>
          <w:trHeight w:val="23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Series D Liquidation Preference</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30,000,000</w:t>
            </w:r>
          </w:p>
        </w:tc>
      </w:tr>
      <w:tr>
        <w:trPr>
          <w:trHeight w:val="257"/>
        </w:trPr>
        <w:tc>
          <w:tcPr>
            <w:tcW w:w="3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Unamortized deferred issuance costs</w:t>
            </w: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983,274</w:t>
            </w:r>
          </w:p>
        </w:tc>
      </w:tr>
      <w:tr>
        <w:trPr>
          <w:trHeight w:val="234"/>
        </w:trPr>
        <w:tc>
          <w:tcPr>
            <w:tcW w:w="3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Carrying value</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29,016,726</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60" w:type="dxa"/>
            <w:vAlign w:val="bottom"/>
          </w:tcPr>
          <w:p>
            <w:pPr>
              <w:ind w:left="60"/>
              <w:spacing w:after="0" w:line="204" w:lineRule="exact"/>
              <w:rPr>
                <w:sz w:val="20"/>
                <w:szCs w:val="20"/>
                <w:color w:val="auto"/>
              </w:rPr>
            </w:pPr>
            <w:r>
              <w:rPr>
                <w:rFonts w:ascii="Times New Roman" w:cs="Times New Roman" w:eastAsia="Times New Roman" w:hAnsi="Times New Roman"/>
                <w:sz w:val="16"/>
                <w:szCs w:val="16"/>
                <w:color w:val="auto"/>
              </w:rPr>
              <w:t xml:space="preserve">Fair value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30,096,000</w:t>
            </w:r>
          </w:p>
        </w:tc>
      </w:tr>
      <w:tr>
        <w:trPr>
          <w:trHeight w:val="25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Fair value price per share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r>
    </w:tbl>
    <w:p>
      <w:pPr>
        <w:spacing w:after="0" w:line="166" w:lineRule="exact"/>
        <w:rPr>
          <w:sz w:val="20"/>
          <w:szCs w:val="20"/>
          <w:color w:val="auto"/>
        </w:rPr>
      </w:pPr>
    </w:p>
    <w:p>
      <w:pPr>
        <w:ind w:right="1860" w:firstLine="7"/>
        <w:spacing w:after="0" w:line="422"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March 31, 2026 closing market price per share of the Series D Term Preferred Shares on the New York Stock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7.25% Series E Convertible Preferred Shares</w:t>
      </w:r>
    </w:p>
    <w:p>
      <w:pPr>
        <w:spacing w:after="0" w:line="108"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On October 30, 2025, the Fund issued 17,500 shares of 7.25% Series E Convertible Preferred Shares due October 30, 2030, in a private placement for aggregate net proceeds (before expenses) of approximately $16,275,000. The Series E Convertible Preferred Shares have a liquidation preference of $1,000.00 per share (the “Series E Liquidation Preference”), and pay a quarterly dividend at a fixed annual rate of 7.25% of the liquidation preference, or $72.50 per share, per year. The Series E Convertible Preferred Shares rank senior to the common shares in priority of payment of dividends and as to the distribution of assets upon dissolution, liquidation, or winding up of the Fund’s affairs. The Series E Convertible Preferred Shares rank equal in priority with the Fund’s Series B Convertible Preferred Shares, and Series D Term Preferred Shares. The following table summarizes the details of the Fund’s Series E Convertible Preferred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Initial Issuance</w:t>
            </w: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220" w:type="dxa"/>
            <w:vAlign w:val="bottom"/>
          </w:tcPr>
          <w:p>
            <w:pPr>
              <w:spacing w:after="0"/>
              <w:rPr>
                <w:sz w:val="16"/>
                <w:szCs w:val="16"/>
                <w:color w:val="auto"/>
              </w:rPr>
            </w:pPr>
          </w:p>
        </w:tc>
        <w:tc>
          <w:tcPr>
            <w:tcW w:w="11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Series E Convertible</w:t>
            </w:r>
          </w:p>
        </w:tc>
        <w:tc>
          <w:tcPr>
            <w:tcW w:w="13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10/30/2025</w:t>
            </w:r>
          </w:p>
        </w:tc>
        <w:tc>
          <w:tcPr>
            <w:tcW w:w="12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10/30/2030</w:t>
            </w: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7.25 %</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17,500,000</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130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At any time on or after May 1, 2026, at the Fund’s sole option, the Fund may redeem, from time to time, the outstanding Series E Convertible Preferred Shares in whole or in part, at a price per share equal to the sum of the Series E Liquidation Preference plus an amount equal to accumulated but unpaid dividends, if any, on such shares. The Fund is required to redeem, all outstanding Series E Convertible Preferred Shares on October 30, 2030 (the “Series E Term Redemption Date”), at a redemption price equal to the Series E Liquidation Preference plus an amount equal to accumulated but unpaid dividends, if any, to the date of redemption. The Fund cannot effect any amendment, alteration or repeal its obligation to redeem all of the Series E Convertible Preferred Shares on the Series E Term Redemption Date without the prior, unanimous approval of the holders of the Series E Convertible Preferred Shares.</w:t>
      </w:r>
    </w:p>
    <w:p>
      <w:pPr>
        <w:spacing w:after="0" w:line="18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Shareholders of the Series E Convertible Preferred Shares may opt to convert the shares at any time on or after the date six months after the issuance of the Series E Convertible Preferred Shares into common shares equal to the Series E Liquidation Preference of the Series E Convertible Preferred Shares, plus an amount equal to accumulated but unpaid dividends, if any, divided by the Series E Conversion Price. The “Series E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E Convertible Preferred Shares will increase to a fixed annual rate of 9.25% of the liquidation preference until the date on which the Fund fulfills its delivery obligations. No holder of the Series E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E Convertible Preferred Shares that is an investment company (as defined in the 1940 Act) or would be an investment company but for Section 3(c)(1) or 3(c)(7) of the 1940 Act may exercise its</w:t>
      </w:r>
    </w:p>
    <w:p>
      <w:pPr>
        <w:sectPr>
          <w:pgSz w:w="11900" w:h="16838" w:orient="portrait"/>
          <w:cols w:equalWidth="0" w:num="1">
            <w:col w:w="9240"/>
          </w:cols>
          <w:pgMar w:left="1320" w:top="495" w:right="1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40"/>
          </w:cols>
          <w:pgMar w:left="1320" w:top="495" w:right="1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conversion privilege or be entitled to receive common Shares upon the exercise of its conversion privilege, to the extent (but only to the extent) that the receipt of such common Shares would cause such holder to become, directly or indirectly, a beneficial owner of more than 3% of the Fund’s outstanding voting securities.</w:t>
      </w:r>
    </w:p>
    <w:p>
      <w:pPr>
        <w:spacing w:after="0" w:line="61" w:lineRule="exact"/>
        <w:rPr>
          <w:sz w:val="20"/>
          <w:szCs w:val="20"/>
          <w:color w:val="auto"/>
        </w:rPr>
      </w:pPr>
    </w:p>
    <w:p>
      <w:pPr>
        <w:ind w:right="20" w:firstLine="729"/>
        <w:spacing w:after="0" w:line="246" w:lineRule="auto"/>
        <w:rPr>
          <w:sz w:val="20"/>
          <w:szCs w:val="20"/>
          <w:color w:val="auto"/>
        </w:rPr>
      </w:pPr>
      <w:r>
        <w:rPr>
          <w:rFonts w:ascii="Times New Roman" w:cs="Times New Roman" w:eastAsia="Times New Roman" w:hAnsi="Times New Roman"/>
          <w:sz w:val="18"/>
          <w:szCs w:val="18"/>
          <w:color w:val="auto"/>
        </w:rPr>
        <w:t>For the six month period ended March 31, 2026, $527,458 of dividend expense related to the Series E Convertible Preferred Shares was included in interest expense in the Statement of Operations. Costs incurred in connection with the issuance of the Series E Convertible Preferred Shares were amortized to interest expense over the shorter of 12 months or the period the shares are outstanding. For the six month period ended March 31, 2026, the Fund recorded $573,000 of amortization of deferred issuance costs related to the Series E Convertible Preferred Shares.</w:t>
      </w:r>
    </w:p>
    <w:p>
      <w:pPr>
        <w:spacing w:after="0" w:line="87" w:lineRule="exact"/>
        <w:rPr>
          <w:sz w:val="20"/>
          <w:szCs w:val="20"/>
          <w:color w:val="auto"/>
        </w:rPr>
      </w:pPr>
    </w:p>
    <w:p>
      <w:pPr>
        <w:ind w:right="80" w:firstLine="729"/>
        <w:spacing w:after="0" w:line="266" w:lineRule="auto"/>
        <w:rPr>
          <w:sz w:val="20"/>
          <w:szCs w:val="20"/>
          <w:color w:val="auto"/>
        </w:rPr>
      </w:pPr>
      <w:r>
        <w:rPr>
          <w:rFonts w:ascii="Times New Roman" w:cs="Times New Roman" w:eastAsia="Times New Roman" w:hAnsi="Times New Roman"/>
          <w:sz w:val="18"/>
          <w:szCs w:val="18"/>
          <w:color w:val="auto"/>
        </w:rPr>
        <w:t>The Series E Convertible Preferred Shares are recorded net of unamortized deferred issuance costs and included as a liability on the Statement of Assets and Liabilities. The carrying value of the Series E Convertible Preferred Shares is $16,739,041. The Fund’s Series E Convertible Preferred Shares balance as of March 31, 2026, was as follows: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11"/>
        </w:trPr>
        <w:tc>
          <w:tcPr>
            <w:tcW w:w="3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xml:space="preserve">As of </w:t>
            </w:r>
            <w:r>
              <w:rPr>
                <w:rFonts w:ascii="Times New Roman" w:cs="Times New Roman" w:eastAsia="Times New Roman" w:hAnsi="Times New Roman"/>
                <w:sz w:val="17"/>
                <w:szCs w:val="17"/>
                <w:b w:val="1"/>
                <w:bCs w:val="1"/>
                <w:color w:val="auto"/>
              </w:rPr>
              <w:t>March 31, 2026</w:t>
            </w:r>
          </w:p>
        </w:tc>
      </w:tr>
      <w:tr>
        <w:trPr>
          <w:trHeight w:val="23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Series E Liquidation Preference</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17,500,000</w:t>
            </w:r>
          </w:p>
        </w:tc>
      </w:tr>
      <w:tr>
        <w:trPr>
          <w:trHeight w:val="256"/>
        </w:trPr>
        <w:tc>
          <w:tcPr>
            <w:tcW w:w="3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Unamortized deferred issuance costs</w:t>
            </w: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760,959</w:t>
            </w:r>
          </w:p>
        </w:tc>
      </w:tr>
      <w:tr>
        <w:trPr>
          <w:trHeight w:val="235"/>
        </w:trPr>
        <w:tc>
          <w:tcPr>
            <w:tcW w:w="3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Carrying value</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16,739,041</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Fair value</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16,368,800</w:t>
            </w:r>
          </w:p>
        </w:tc>
      </w:tr>
      <w:tr>
        <w:trPr>
          <w:trHeight w:val="25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Fair value price per share</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935.36</w:t>
            </w:r>
          </w:p>
        </w:tc>
      </w:tr>
    </w:tbl>
    <w:p>
      <w:pPr>
        <w:spacing w:after="0" w:line="200" w:lineRule="exact"/>
        <w:rPr>
          <w:sz w:val="20"/>
          <w:szCs w:val="20"/>
          <w:color w:val="auto"/>
        </w:rPr>
      </w:pPr>
    </w:p>
    <w:p>
      <w:pPr>
        <w:spacing w:after="0" w:line="241" w:lineRule="exact"/>
        <w:rPr>
          <w:sz w:val="20"/>
          <w:szCs w:val="20"/>
          <w:color w:val="auto"/>
        </w:rPr>
      </w:pPr>
    </w:p>
    <w:p>
      <w:pPr>
        <w:ind w:left="260" w:firstLine="729"/>
        <w:spacing w:after="0" w:line="255" w:lineRule="auto"/>
        <w:rPr>
          <w:sz w:val="20"/>
          <w:szCs w:val="20"/>
          <w:color w:val="auto"/>
        </w:rPr>
      </w:pPr>
      <w:r>
        <w:rPr>
          <w:rFonts w:ascii="Times New Roman" w:cs="Times New Roman" w:eastAsia="Times New Roman" w:hAnsi="Times New Roman"/>
          <w:sz w:val="18"/>
          <w:szCs w:val="18"/>
          <w:color w:val="auto"/>
        </w:rPr>
        <w:t>Except where otherwise stated in the 1940 Act or the Fund's Declaration of Trust, each holder of Series B Convertible Preferred Shares, Series D Term Preferred Shares, and Series E Convertible Preferred Shares will be entitled to one vote for each share of preferred shares held on each matter submitted to a vote of the Fund's shareholders. The Fund's preferred shareholders and common shareholders will vote together as a single class on all matters submitted to the Fund's shareholders. Additionally, the Fund's preferred shareholders will have the right to elect two Preferred Trustees at all times, while the Fund's preferred shareholders and common shareholders, voting together as a single class, will elect the remaining members of the Board.</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details the Fund’s sources of leverage as of March 31, 2026:</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Outstanding Principal</w:t>
            </w:r>
          </w:p>
        </w:tc>
      </w:tr>
      <w:tr>
        <w:trPr>
          <w:trHeight w:val="238"/>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rPr>
              <w:t>Balance as of</w:t>
            </w:r>
          </w:p>
        </w:tc>
      </w:tr>
      <w:tr>
        <w:trPr>
          <w:trHeight w:val="248"/>
        </w:trPr>
        <w:tc>
          <w:tcPr>
            <w:tcW w:w="3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37"/>
        </w:trPr>
        <w:tc>
          <w:tcPr>
            <w:tcW w:w="3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56"/>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Credit Facility</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ind w:right="136"/>
              <w:spacing w:after="0"/>
              <w:rPr>
                <w:sz w:val="20"/>
                <w:szCs w:val="20"/>
                <w:color w:val="auto"/>
              </w:rPr>
            </w:pPr>
            <w:r>
              <w:rPr>
                <w:rFonts w:ascii="Times New Roman" w:cs="Times New Roman" w:eastAsia="Times New Roman" w:hAnsi="Times New Roman"/>
                <w:sz w:val="16"/>
                <w:szCs w:val="16"/>
                <w:color w:val="auto"/>
              </w:rPr>
              <w:t>8,000,000</w:t>
            </w:r>
          </w:p>
        </w:tc>
      </w:tr>
      <w:tr>
        <w:trPr>
          <w:trHeight w:val="257"/>
        </w:trPr>
        <w:tc>
          <w:tcPr>
            <w:tcW w:w="3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Preferred Shares</w:t>
            </w:r>
          </w:p>
        </w:tc>
        <w:tc>
          <w:tcPr>
            <w:tcW w:w="24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56"/>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B Convertible Preferred Shares</w:t>
            </w:r>
          </w:p>
        </w:tc>
        <w:tc>
          <w:tcPr>
            <w:tcW w:w="240" w:type="dxa"/>
            <w:vAlign w:val="bottom"/>
          </w:tcPr>
          <w:p>
            <w:pPr>
              <w:spacing w:after="0"/>
              <w:rPr>
                <w:sz w:val="22"/>
                <w:szCs w:val="22"/>
                <w:color w:val="auto"/>
              </w:rPr>
            </w:pPr>
          </w:p>
        </w:tc>
        <w:tc>
          <w:tcPr>
            <w:tcW w:w="2120" w:type="dxa"/>
            <w:vAlign w:val="bottom"/>
          </w:tcPr>
          <w:p>
            <w:pPr>
              <w:jc w:val="right"/>
              <w:ind w:right="136"/>
              <w:spacing w:after="0"/>
              <w:rPr>
                <w:sz w:val="20"/>
                <w:szCs w:val="20"/>
                <w:color w:val="auto"/>
              </w:rPr>
            </w:pPr>
            <w:r>
              <w:rPr>
                <w:rFonts w:ascii="Times New Roman" w:cs="Times New Roman" w:eastAsia="Times New Roman" w:hAnsi="Times New Roman"/>
                <w:sz w:val="16"/>
                <w:szCs w:val="16"/>
                <w:color w:val="auto"/>
              </w:rPr>
              <w:t>3,517,000</w:t>
            </w:r>
          </w:p>
        </w:tc>
      </w:tr>
      <w:tr>
        <w:trPr>
          <w:trHeight w:val="257"/>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Series D Term Preferred Shares</w:t>
            </w:r>
          </w:p>
        </w:tc>
        <w:tc>
          <w:tcPr>
            <w:tcW w:w="24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30,000,000</w:t>
            </w:r>
          </w:p>
        </w:tc>
      </w:tr>
      <w:tr>
        <w:trPr>
          <w:trHeight w:val="257"/>
        </w:trPr>
        <w:tc>
          <w:tcPr>
            <w:tcW w:w="3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Series E Convertible Preferred Shares</w:t>
            </w:r>
          </w:p>
        </w:tc>
        <w:tc>
          <w:tcPr>
            <w:tcW w:w="2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color w:val="auto"/>
              </w:rPr>
              <w:t>17,500,000</w:t>
            </w:r>
          </w:p>
        </w:tc>
      </w:tr>
      <w:tr>
        <w:trPr>
          <w:trHeight w:val="234"/>
        </w:trPr>
        <w:tc>
          <w:tcPr>
            <w:tcW w:w="3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1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59,017,000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3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 interest rate</w:t>
            </w:r>
          </w:p>
        </w:tc>
        <w:tc>
          <w:tcPr>
            <w:tcW w:w="2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7.27 %</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ectPr>
          <w:pgSz w:w="11900" w:h="16838" w:orient="portrait"/>
          <w:cols w:equalWidth="0" w:num="1">
            <w:col w:w="9200"/>
          </w:cols>
          <w:pgMar w:left="1320" w:top="49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00"/>
          </w:cols>
          <w:pgMar w:left="1320" w:top="495" w:right="1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Fund has an unlimited amount of common shares, no par value, authorized and 21,198,622 issued and outstanding. There was no change in the Fund’s amount of common shares for the six month period ended March 31,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(“ATM”)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4, 2023, the Fund entered into an Equity Distribution Agreement, as amended on May 20,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2024, and May 21, 2025, with Ladenburg Thalmann &amp; Co. Inc., B. Riley Securities, Inc., Oppenheimer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and Lucid Capital Markets, LLC (the “Placement Agents”). The Equity Distribution Agreement originally allowed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and sale of up to $75,000,000 in aggregate amount of the Fund’s common shares, through the Placement Agents,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ATM offering, as defined in Rule 415 under the Securities Act of 1933. As of the amendment on May 21, 2025, the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the maximum aggregate amount of common shares to be sold through the ATM program from $75,000,000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 The minimum price on any day at which common shares may be sold will not be below the current net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such common shares. The Fund did not sell any common shares pursuant to the ATM program for the six month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Placement of Common Shares</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August 26, 2024, the Fund entered into a purchase agreement for the purchase and sale of common shares in a registered direct placement pursuant to the Fund’s effective shelf registration filed with the SEC. On August 27, 2024, the Fund sold 1,444,865 common shares and received approximately $11.5 million in proceeds before expenses. The offering, which was accretive to shareholders, was executed at a price above the Fund’s NAV per common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Fund operates through a single operating and reporting segment and its primary investment objective is to generate current income, with a secondary objective to generate capital appreciation. The chief operating decision maker (“CODM”) is the Fund’s Principal Executive Officer. The CODM assesses the performance of the Fund and makes operating decisions, primarily based on the Fund’s net asset value, net investment income and increase/decrease in net assets resulting from operations. These performance measures also aid the CODM in determining the amount of dividends to be distributed to the Fund’s shareholders, implementing investment policy decisions, strategic initiatives, and managing and assessing the Fund’s portfolio. As the Fund’s operations comprise of a single reporting segment, the segment assets are reflected on the accompanying Statement of Assets and Liabilities as total assets and the significant segment expenses are listed on the accompanying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TAX</w:t>
      </w:r>
    </w:p>
    <w:p>
      <w:pPr>
        <w:spacing w:after="0" w:line="227"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Fund has not recorded a liability for any uncertain tax positions pursuant to the provisions of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as of March 31, 2026.</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Fund is subject to examination by federal and certain state, local and foreign tax regulators. The Fund’s federal tax returns are generally subject to examination by the Internal Revenue Service for a period of three years after they are filed.</w:t>
      </w:r>
    </w:p>
    <w:p>
      <w:pPr>
        <w:spacing w:after="0" w:line="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Fund’s taxable income for each period is an estimate and will not be finally determined until the Fund files its tax return for each year. Therefore, the final taxable income, and the taxable income earned in each period and carried forward for distribution in the following period, may be different than this estimate. For the six month period ended March 31, 2026, the Fund made distributions of $12,401,194, in which the final tax character of income will be determined at year end.</w:t>
      </w:r>
    </w:p>
    <w:p>
      <w:pPr>
        <w:spacing w:after="0" w:line="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cost of securities and other investments and the composition of unrealized appreciation and depreciation of securities and other investments for federal income tax purposes at period end are noted in the following table.</w:t>
      </w:r>
    </w:p>
    <w:p>
      <w:pPr>
        <w:spacing w:after="0" w:line="131"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March</w:t>
            </w:r>
          </w:p>
        </w:tc>
      </w:tr>
      <w:tr>
        <w:trPr>
          <w:trHeight w:val="189"/>
        </w:trPr>
        <w:tc>
          <w:tcPr>
            <w:tcW w:w="4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31, 2026</w:t>
            </w:r>
          </w:p>
        </w:tc>
      </w:tr>
      <w:tr>
        <w:trPr>
          <w:trHeight w:val="209"/>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Federal tax cost of securities</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154,527,132</w:t>
            </w:r>
          </w:p>
        </w:tc>
      </w:tr>
      <w:tr>
        <w:trPr>
          <w:trHeight w:val="210"/>
        </w:trPr>
        <w:tc>
          <w:tcPr>
            <w:tcW w:w="4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Gross unrealized appreciation</w:t>
            </w:r>
          </w:p>
        </w:tc>
        <w:tc>
          <w:tcPr>
            <w:tcW w:w="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20,138,679</w:t>
            </w:r>
          </w:p>
        </w:tc>
      </w:tr>
      <w:tr>
        <w:trPr>
          <w:trHeight w:val="229"/>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unrealized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(51,776,255)</w:t>
            </w:r>
          </w:p>
        </w:tc>
      </w:tr>
      <w:tr>
        <w:trPr>
          <w:trHeight w:val="183"/>
        </w:trPr>
        <w:tc>
          <w:tcPr>
            <w:tcW w:w="42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Net unrealized appreciation (depreciation)</w:t>
            </w:r>
          </w:p>
        </w:tc>
        <w:tc>
          <w:tcPr>
            <w:tcW w:w="42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(31,637,576)</w:t>
            </w:r>
          </w:p>
        </w:tc>
      </w:tr>
      <w:tr>
        <w:trPr>
          <w:trHeight w:val="20"/>
        </w:trPr>
        <w:tc>
          <w:tcPr>
            <w:tcW w:w="4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5" w:right="1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240"/>
          </w:cols>
          <w:pgMar w:left="1320" w:top="495" w:right="1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On April 30, 2026, the Fund paid a monthly dividend of $0.06 per common share to holders of record on April 20, 2026. Additionally, on May 19, 2026, the Fund declared dividends of $0.06 per common share, payable on each of June 30, 2026, July 31, 2026, and August 31, 2026, to holders of record as of June 17, 2026, July 21, 2026, and August 19, 2026, respectively.</w:t>
      </w:r>
    </w:p>
    <w:p>
      <w:pPr>
        <w:spacing w:after="0" w:line="6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 April 30, 2026, the Fund paid a quarterly dividend of $17.8125 per share on its 7.125% Series B Convertible Preferred Shares to holders of record on April 20, 2026.</w:t>
      </w:r>
    </w:p>
    <w:p>
      <w:pPr>
        <w:spacing w:after="0" w:line="5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April 30, 2026, the Fund paid a monthly dividend of $0.1536 per share on its 7.375% Series D Term Preferred Shares to holders of record on April 20, 2026. Additionally, on May 19, 2026, the Fund declared dividends of $0.1536 per share on its 7.375% Series D Term Preferred Shares, payable on each of June 30, 2026, July 31, 2026, and August 31, 2026, to holders of record as of June 17, 2026, July 21, 2026, and August 19, 2026, respectively.</w:t>
      </w:r>
    </w:p>
    <w:p>
      <w:pPr>
        <w:spacing w:after="0" w:line="83"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On April 30, 2026, the Fund paid a quarterly dividend of $18.125 per share on its 7.25% Series E Convertible Preferred Shares to holders of record on April 20, 2026.</w:t>
      </w:r>
    </w:p>
    <w:p>
      <w:pPr>
        <w:spacing w:after="0" w:line="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April 30, 2026, 500 shares of the 7.125% Series B Convertible Preferred Shares were converted into common shares of the Fund.</w:t>
      </w:r>
    </w:p>
    <w:p>
      <w:pPr>
        <w:spacing w:after="0" w:line="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Fund evaluated subsequent events through the date the financial statements were issued and noted no other events that require recognition or disclosure in the financial statements.</w:t>
      </w:r>
    </w:p>
    <w:p>
      <w:pPr>
        <w:sectPr>
          <w:pgSz w:w="11900" w:h="16838" w:orient="portrait"/>
          <w:cols w:equalWidth="0" w:num="1">
            <w:col w:w="9220"/>
          </w:cols>
          <w:pgMar w:left="1320" w:top="49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220"/>
          </w:cols>
          <w:pgMar w:left="1320" w:top="495" w:right="1359" w:bottom="1440" w:gutter="0" w:footer="0" w:header="0"/>
          <w:type w:val="continuous"/>
        </w:sectPr>
      </w:pPr>
    </w:p>
    <w:bookmarkStart w:id="39" w:name="page40"/>
    <w:bookmarkEnd w:id="39"/>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Fund operates under the DRP administered by Equiniti. Pursuant to the DRP, the Fund’s Distributions (as defined below), net of any applicable U.S. withholding tax, are reinvested in the same class of shares of the Fund.</w:t>
      </w:r>
    </w:p>
    <w:p>
      <w:pPr>
        <w:spacing w:after="0" w:line="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Shareholders automatically participate in the DRP, unless and until an election is made to withdraw from the plan on behalf of such participating Shareholder. A Shareholder who does not wish to have Distributions automatically reinvested may terminate participation in the DRP by written instructions to that effect to Equiniti. Shareholders who elect not to participate in the DRP will receive all distributions in cash paid to the Shareholder of record (or, if the shares are held in street or other nominee name, then to such nominee). Such written instructions must be received by Equiniti within 15 days prior to the applicable dividend payment date, or the Shareholder will receive such Distribution in shares through the DRP. Under the DRP, the Fund’s Distributions to Shareholders are automatically reinvested in full and fractional shares as described below.</w:t>
      </w:r>
    </w:p>
    <w:p>
      <w:pPr>
        <w:spacing w:after="0" w:line="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When the Fund declares a dividend, capital gain or other distribution (each, a “Distribution” and collectively, “Distributions”) Equiniti, on the Shareholder’s behalf, will receive additional authorized shares from the Fund either newly issued or repurchased from Shareholders by the Fund and held as treasury stock. Distributions that are reinvested through the issuance of new shares increase our Shareholders’ equity on which a management fee is payable to the Adviser. The number of shares to be received when Distributions are reinvested will be determined by dividing the amount of the Distribution by the lesser of (1) 95% of the market price per share of the Fund’s common stock at the close of regular trading on the NYSE or (2) the NAV per share. The newly issued shares would be issued whether our shares are trading at a premium or discount to NAV. However, the Fund reserves the right to purchase shares in the open market in connection with the implementation of the DRP to the extent that shares are trading at a price below NAV per share. Shares purchased in open market transactions by the plan administrator will be allocated to a Shareholder based on the average purchase price, excluding any brokerage charges or other charges, of all shares purchased in the open market.</w:t>
      </w:r>
    </w:p>
    <w:p>
      <w:pPr>
        <w:spacing w:after="0" w:line="8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Equiniti will maintain all Shareholder accounts and furnish written confirmations of all transactions in the accounts, including information needed by Shareholders for personal and tax records. Equiniti will hold shares in the account of the Shareholders in non-certificated form in the name of the participant, and each Shareholder’s proxy, if any, will include those shares purchased pursuant to the DRP. Each participant, nevertheless, has the right to request certificates for whole and fractional shares owned. The Fund will issue certificates in its sole discretion. Equiniti will distribute all proxy solicitation materials, if any, to participating Shareholders.</w:t>
      </w:r>
    </w:p>
    <w:p>
      <w:pPr>
        <w:spacing w:after="0" w:line="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case of Shareholders, such as banks, brokers or nominees, that hold shares for others who are beneficial owners participating under the DRP, Equiniti will administer the DRP on the basis of the number of shares certified from time to time by the record shareholder as representing the total amount of shares registered in the Shareholder’s name and held for the account of beneficial owners participating under the DRP.</w:t>
      </w:r>
    </w:p>
    <w:p>
      <w:pPr>
        <w:spacing w:after="0" w:line="7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Neither Equiniti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spacing w:after="0" w:line="7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automatic reinvestment of Distributions will not relieve participants of any federal, state or local income tax that may be payable (or required to be withheld) on such Distributions.</w:t>
      </w:r>
    </w:p>
    <w:p>
      <w:pPr>
        <w:spacing w:after="0" w:line="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spacing w:after="0" w:line="6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DRP should be directed to Equiniti at PO Box 500, Newark, NJ 07101. Certain transactions can be performed by calling the toll free number (866) 277-8243</w:t>
      </w:r>
      <w:r>
        <w:rPr>
          <w:rFonts w:ascii="Arial" w:cs="Arial" w:eastAsia="Arial" w:hAnsi="Arial"/>
          <w:sz w:val="16"/>
          <w:szCs w:val="16"/>
          <w:color w:val="auto"/>
        </w:rPr>
        <w:t>.</w:t>
      </w:r>
    </w:p>
    <w:p>
      <w:pPr>
        <w:sectPr>
          <w:pgSz w:w="11900" w:h="16838" w:orient="portrait"/>
          <w:cols w:equalWidth="0" w:num="1">
            <w:col w:w="9180"/>
          </w:cols>
          <w:pgMar w:left="132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180"/>
          </w:cols>
          <w:pgMar w:left="1320" w:top="1440" w:right="1399" w:bottom="1440" w:gutter="0" w:footer="0" w:header="0"/>
          <w:type w:val="continuous"/>
        </w:sectPr>
      </w:pPr>
    </w:p>
    <w:bookmarkStart w:id="40" w:name="page41"/>
    <w:bookmarkEnd w:id="40"/>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PORTFOLIO PROXY VOTING POLICIES AND PROXY VOTING RECORD (Unaudited)</w:t>
      </w:r>
    </w:p>
    <w:p>
      <w:pPr>
        <w:spacing w:after="0" w:line="121" w:lineRule="exact"/>
        <w:rPr>
          <w:sz w:val="20"/>
          <w:szCs w:val="20"/>
          <w:color w:val="auto"/>
        </w:rPr>
      </w:pPr>
    </w:p>
    <w:p>
      <w:pPr>
        <w:ind w:left="140" w:right="179" w:firstLine="648"/>
        <w:spacing w:after="0" w:line="258" w:lineRule="auto"/>
        <w:rPr>
          <w:sz w:val="20"/>
          <w:szCs w:val="20"/>
          <w:color w:val="auto"/>
        </w:rPr>
      </w:pPr>
      <w:r>
        <w:rPr>
          <w:rFonts w:ascii="Times New Roman" w:cs="Times New Roman" w:eastAsia="Times New Roman" w:hAnsi="Times New Roman"/>
          <w:sz w:val="18"/>
          <w:szCs w:val="18"/>
          <w:color w:val="auto"/>
        </w:rPr>
        <w:t>The Fund has delegated its proxy voting responsibility to the Adviser. The proxy voting policies and procedures of the Adviser are set forth below. The guidelines are reviewed periodically by the Adviser and the Independent Trustees and, accordingly, are subject to change. Based on the nature of the registrant’s investment strategy, the Adviser does not expect to receive proxy proposals but may from time to time receive amendments, consents or resolutions applicable to investments held by the Fund.</w:t>
      </w:r>
    </w:p>
    <w:p>
      <w:pPr>
        <w:spacing w:after="0" w:line="75" w:lineRule="exact"/>
        <w:rPr>
          <w:sz w:val="20"/>
          <w:szCs w:val="20"/>
          <w:color w:val="auto"/>
        </w:rPr>
      </w:pPr>
    </w:p>
    <w:p>
      <w:pPr>
        <w:ind w:left="140" w:right="199" w:firstLine="648"/>
        <w:spacing w:after="0" w:line="255" w:lineRule="auto"/>
        <w:rPr>
          <w:sz w:val="20"/>
          <w:szCs w:val="20"/>
          <w:color w:val="auto"/>
        </w:rPr>
      </w:pPr>
      <w:r>
        <w:rPr>
          <w:rFonts w:ascii="Times New Roman" w:cs="Times New Roman" w:eastAsia="Times New Roman" w:hAnsi="Times New Roman"/>
          <w:sz w:val="18"/>
          <w:szCs w:val="18"/>
          <w:color w:val="auto"/>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spacing w:after="0" w:line="81" w:lineRule="exact"/>
        <w:rPr>
          <w:sz w:val="20"/>
          <w:szCs w:val="20"/>
          <w:color w:val="auto"/>
        </w:rPr>
      </w:pPr>
    </w:p>
    <w:p>
      <w:pPr>
        <w:ind w:left="140" w:right="259" w:firstLine="648"/>
        <w:spacing w:after="0" w:line="258" w:lineRule="auto"/>
        <w:rPr>
          <w:sz w:val="20"/>
          <w:szCs w:val="20"/>
          <w:color w:val="auto"/>
        </w:rPr>
      </w:pPr>
      <w:r>
        <w:rPr>
          <w:rFonts w:ascii="Times New Roman" w:cs="Times New Roman" w:eastAsia="Times New Roman" w:hAnsi="Times New Roman"/>
          <w:sz w:val="18"/>
          <w:szCs w:val="18"/>
          <w:color w:val="auto"/>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spacing w:after="0" w:line="75" w:lineRule="exact"/>
        <w:rPr>
          <w:sz w:val="20"/>
          <w:szCs w:val="20"/>
          <w:color w:val="auto"/>
        </w:rPr>
      </w:pPr>
    </w:p>
    <w:p>
      <w:pPr>
        <w:ind w:left="140" w:right="299" w:firstLine="648"/>
        <w:spacing w:after="0" w:line="281" w:lineRule="auto"/>
        <w:rPr>
          <w:sz w:val="20"/>
          <w:szCs w:val="20"/>
          <w:color w:val="auto"/>
        </w:rPr>
      </w:pPr>
      <w:r>
        <w:rPr>
          <w:rFonts w:ascii="Times New Roman" w:cs="Times New Roman" w:eastAsia="Times New Roman" w:hAnsi="Times New Roman"/>
          <w:sz w:val="17"/>
          <w:szCs w:val="17"/>
          <w:color w:val="auto"/>
        </w:rPr>
        <w:t>The Fund shall file an annual report of each proxy voted with respect to portfolio securities of the Fund during the twelve-month period ended June 30 on Form N-PX not later than August 31 of each year. The Fund’s voting record is available (i) without charge, upon request, by calling the Fund toll-free at (866) 277-8243, (ii) free of charge on our website (www.carlylecreditincomefund.com), and (iii) in the Form N-PX filing on the SEC’s website at www.sec.gov.</w:t>
      </w:r>
    </w:p>
    <w:p>
      <w:pPr>
        <w:spacing w:after="0" w:line="56" w:lineRule="exact"/>
        <w:rPr>
          <w:sz w:val="20"/>
          <w:szCs w:val="20"/>
          <w:color w:val="auto"/>
        </w:rPr>
      </w:pPr>
    </w:p>
    <w:p>
      <w:pPr>
        <w:ind w:left="140" w:right="139" w:firstLine="648"/>
        <w:spacing w:after="0" w:line="266" w:lineRule="auto"/>
        <w:rPr>
          <w:sz w:val="20"/>
          <w:szCs w:val="20"/>
          <w:color w:val="auto"/>
        </w:rPr>
      </w:pPr>
      <w:r>
        <w:rPr>
          <w:rFonts w:ascii="Times New Roman" w:cs="Times New Roman" w:eastAsia="Times New Roman" w:hAnsi="Times New Roman"/>
          <w:sz w:val="18"/>
          <w:szCs w:val="18"/>
          <w:color w:val="auto"/>
        </w:rPr>
        <w:t>The Fund files its complete schedule of portfolio holdings with the SEC for the first quarter and the third quarter of each fiscal year on Form N-PORT. The Fund’s Form N-PORT filings are available on the SEC’s website at www.sec.gov.</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124" w:lineRule="exact"/>
        <w:rPr>
          <w:sz w:val="20"/>
          <w:szCs w:val="20"/>
          <w:color w:val="auto"/>
        </w:rPr>
      </w:pPr>
    </w:p>
    <w:p>
      <w:pPr>
        <w:ind w:left="720"/>
        <w:spacing w:after="0"/>
        <w:tabs>
          <w:tab w:leader="none" w:pos="2860" w:val="left"/>
        </w:tabs>
        <w:rPr>
          <w:sz w:val="20"/>
          <w:szCs w:val="20"/>
          <w:color w:val="auto"/>
        </w:rPr>
      </w:pPr>
      <w:r>
        <w:rPr>
          <w:rFonts w:ascii="Times New Roman" w:cs="Times New Roman" w:eastAsia="Times New Roman" w:hAnsi="Times New Roman"/>
          <w:sz w:val="16"/>
          <w:szCs w:val="16"/>
          <w:b w:val="1"/>
          <w:bCs w:val="1"/>
          <w:color w:val="auto"/>
        </w:rPr>
        <w:t>Adviser</w:t>
      </w:r>
      <w:r>
        <w:rPr>
          <w:sz w:val="20"/>
          <w:szCs w:val="20"/>
          <w:color w:val="auto"/>
        </w:rPr>
        <w:tab/>
      </w:r>
      <w:r>
        <w:rPr>
          <w:rFonts w:ascii="Times New Roman" w:cs="Times New Roman" w:eastAsia="Times New Roman" w:hAnsi="Times New Roman"/>
          <w:sz w:val="16"/>
          <w:szCs w:val="16"/>
          <w:color w:val="auto"/>
        </w:rPr>
        <w:t>Carlyle Global Credit Investment Management L.L.C.</w:t>
      </w:r>
    </w:p>
    <w:p>
      <w:pPr>
        <w:spacing w:after="0" w:line="204" w:lineRule="exact"/>
        <w:rPr>
          <w:sz w:val="20"/>
          <w:szCs w:val="20"/>
          <w:color w:val="auto"/>
        </w:rPr>
      </w:pPr>
    </w:p>
    <w:p>
      <w:pPr>
        <w:ind w:left="720"/>
        <w:spacing w:after="0"/>
        <w:tabs>
          <w:tab w:leader="none" w:pos="2860" w:val="left"/>
        </w:tabs>
        <w:rPr>
          <w:sz w:val="20"/>
          <w:szCs w:val="20"/>
          <w:color w:val="auto"/>
        </w:rPr>
      </w:pPr>
      <w:r>
        <w:rPr>
          <w:rFonts w:ascii="Times New Roman" w:cs="Times New Roman" w:eastAsia="Times New Roman" w:hAnsi="Times New Roman"/>
          <w:sz w:val="16"/>
          <w:szCs w:val="16"/>
          <w:b w:val="1"/>
          <w:bCs w:val="1"/>
          <w:color w:val="auto"/>
        </w:rPr>
        <w:t>Transfer Agent</w:t>
      </w:r>
      <w:r>
        <w:rPr>
          <w:sz w:val="20"/>
          <w:szCs w:val="20"/>
          <w:color w:val="auto"/>
        </w:rPr>
        <w:tab/>
      </w:r>
      <w:r>
        <w:rPr>
          <w:rFonts w:ascii="Times New Roman" w:cs="Times New Roman" w:eastAsia="Times New Roman" w:hAnsi="Times New Roman"/>
          <w:sz w:val="16"/>
          <w:szCs w:val="16"/>
          <w:color w:val="auto"/>
        </w:rPr>
        <w:t>Equiniti Trust Company LLC, (formerly known as American Stock Transfer &amp; Trust</w:t>
      </w:r>
    </w:p>
    <w:p>
      <w:pPr>
        <w:ind w:left="2880"/>
        <w:spacing w:after="0"/>
        <w:rPr>
          <w:sz w:val="20"/>
          <w:szCs w:val="20"/>
          <w:color w:val="auto"/>
        </w:rPr>
      </w:pPr>
      <w:r>
        <w:rPr>
          <w:rFonts w:ascii="Times New Roman" w:cs="Times New Roman" w:eastAsia="Times New Roman" w:hAnsi="Times New Roman"/>
          <w:sz w:val="16"/>
          <w:szCs w:val="16"/>
          <w:color w:val="auto"/>
        </w:rPr>
        <w:t>Company)</w:t>
      </w:r>
    </w:p>
    <w:p>
      <w:pPr>
        <w:spacing w:after="0" w:line="120" w:lineRule="exact"/>
        <w:rPr>
          <w:sz w:val="20"/>
          <w:szCs w:val="20"/>
          <w:color w:val="auto"/>
        </w:rPr>
      </w:pPr>
    </w:p>
    <w:p>
      <w:pPr>
        <w:ind w:left="720"/>
        <w:spacing w:after="0"/>
        <w:tabs>
          <w:tab w:leader="none" w:pos="2860" w:val="left"/>
        </w:tabs>
        <w:rPr>
          <w:sz w:val="20"/>
          <w:szCs w:val="20"/>
          <w:color w:val="auto"/>
        </w:rPr>
      </w:pPr>
      <w:r>
        <w:rPr>
          <w:rFonts w:ascii="Times New Roman" w:cs="Times New Roman" w:eastAsia="Times New Roman" w:hAnsi="Times New Roman"/>
          <w:sz w:val="16"/>
          <w:szCs w:val="16"/>
          <w:b w:val="1"/>
          <w:bCs w:val="1"/>
          <w:color w:val="auto"/>
        </w:rPr>
        <w:t>Legal Counsel</w:t>
      </w:r>
      <w:r>
        <w:rPr>
          <w:sz w:val="20"/>
          <w:szCs w:val="20"/>
          <w:color w:val="auto"/>
        </w:rPr>
        <w:tab/>
      </w:r>
      <w:r>
        <w:rPr>
          <w:rFonts w:ascii="Times New Roman" w:cs="Times New Roman" w:eastAsia="Times New Roman" w:hAnsi="Times New Roman"/>
          <w:sz w:val="16"/>
          <w:szCs w:val="16"/>
          <w:color w:val="auto"/>
        </w:rPr>
        <w:t>Dechert LLP</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Ticker Symbols</w:t>
      </w:r>
    </w:p>
    <w:p>
      <w:pPr>
        <w:spacing w:after="0" w:line="48" w:lineRule="exact"/>
        <w:rPr>
          <w:sz w:val="20"/>
          <w:szCs w:val="20"/>
          <w:color w:val="auto"/>
        </w:rPr>
      </w:pPr>
    </w:p>
    <w:p>
      <w:pPr>
        <w:ind w:left="840"/>
        <w:spacing w:after="0"/>
        <w:tabs>
          <w:tab w:leader="none" w:pos="2860" w:val="left"/>
        </w:tabs>
        <w:rPr>
          <w:sz w:val="20"/>
          <w:szCs w:val="20"/>
          <w:color w:val="auto"/>
        </w:rPr>
      </w:pPr>
      <w:r>
        <w:rPr>
          <w:rFonts w:ascii="Times New Roman" w:cs="Times New Roman" w:eastAsia="Times New Roman" w:hAnsi="Times New Roman"/>
          <w:sz w:val="16"/>
          <w:szCs w:val="16"/>
          <w:color w:val="auto"/>
        </w:rPr>
        <w:t>Common Shares</w:t>
      </w:r>
      <w:r>
        <w:rPr>
          <w:sz w:val="20"/>
          <w:szCs w:val="20"/>
          <w:color w:val="auto"/>
        </w:rPr>
        <w:tab/>
      </w:r>
      <w:r>
        <w:rPr>
          <w:rFonts w:ascii="Times New Roman" w:cs="Times New Roman" w:eastAsia="Times New Roman" w:hAnsi="Times New Roman"/>
          <w:sz w:val="16"/>
          <w:szCs w:val="16"/>
          <w:color w:val="auto"/>
        </w:rPr>
        <w:t>CCIF</w:t>
      </w:r>
    </w:p>
    <w:p>
      <w:pPr>
        <w:spacing w:after="0" w:line="46" w:lineRule="exact"/>
        <w:rPr>
          <w:sz w:val="20"/>
          <w:szCs w:val="20"/>
          <w:color w:val="auto"/>
        </w:rPr>
      </w:pPr>
    </w:p>
    <w:p>
      <w:pPr>
        <w:ind w:left="840"/>
        <w:spacing w:after="0"/>
        <w:tabs>
          <w:tab w:leader="none" w:pos="2860" w:val="left"/>
        </w:tabs>
        <w:rPr>
          <w:sz w:val="20"/>
          <w:szCs w:val="20"/>
          <w:color w:val="auto"/>
        </w:rPr>
      </w:pPr>
      <w:r>
        <w:rPr>
          <w:rFonts w:ascii="Times New Roman" w:cs="Times New Roman" w:eastAsia="Times New Roman" w:hAnsi="Times New Roman"/>
          <w:sz w:val="16"/>
          <w:szCs w:val="16"/>
          <w:color w:val="auto"/>
        </w:rPr>
        <w:t>Preferred Shares</w:t>
      </w:r>
      <w:r>
        <w:rPr>
          <w:sz w:val="20"/>
          <w:szCs w:val="20"/>
          <w:color w:val="auto"/>
        </w:rPr>
        <w:tab/>
      </w:r>
      <w:r>
        <w:rPr>
          <w:rFonts w:ascii="Times New Roman" w:cs="Times New Roman" w:eastAsia="Times New Roman" w:hAnsi="Times New Roman"/>
          <w:sz w:val="15"/>
          <w:szCs w:val="15"/>
          <w:color w:val="auto"/>
        </w:rPr>
        <w:t>CCID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2026 The Carlyle Group Inc. All rights reserved.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3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As a Carlyle Credit Income Fund shareholder, you are entitled to know how we protect your personal information and how we limit its disclosure.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Sources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obtain non-public personal information about our shareholders from transactions with us, our affiliates, or others.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Protection of Information</w:t>
      </w:r>
    </w:p>
    <w:p>
      <w:pPr>
        <w:spacing w:after="0" w:line="61"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We do not disclose any non-public personal information (such as names on a customer list) about current or former customers to anyone, except as permitted by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of Information</w:t>
      </w:r>
    </w:p>
    <w:p>
      <w:pPr>
        <w:spacing w:after="0" w:line="7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may use details about you and your investments to help us, our financial service affiliates, or firms that jointly market their financial products and services with ours, to better serve your investment needs or suggest educational material that may be of interest to you. If this requires us to provide you with an opportunity to “opt in” or “opt out” of such information sharing with a firm not affiliated with us, you will receive notification on how to do so, before any such sharing takes place.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Right of Refusal</w:t>
      </w:r>
    </w:p>
    <w:p>
      <w:pPr>
        <w:spacing w:after="0" w:line="6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will not disclose your personal information to unaffiliated third parties (except as permitted by law), unless we first offer you a reasonable opportunity to refuse or “opt out” of such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Security Measures</w:t>
      </w:r>
    </w:p>
    <w:p>
      <w:pPr>
        <w:spacing w:after="0" w:line="75"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We maintain physical, electronic and procedural safeguards to protect your personal account information. Our employees and agents have access to that information only so that they may offer you products or provide services, for example, when responding to your account questions.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We Are</w:t>
      </w:r>
    </w:p>
    <w:p>
      <w:pPr>
        <w:spacing w:after="0" w:line="7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This notice describes the privacy policy of the Carlyle Credit Income Fund. In the event it is updated or changed, we will post an updated notice on our website at www.carlylecreditcncomefund.com. If you have any questions about this privacy policy, write to us at PO Box 500, Newark, NJ 07101 or call us at (866) 277-8243.</w:t>
      </w:r>
    </w:p>
    <w:p>
      <w:pPr>
        <w:sectPr>
          <w:pgSz w:w="11900" w:h="16838" w:orient="portrait"/>
          <w:cols w:equalWidth="0" w:num="1">
            <w:col w:w="9200"/>
          </w:cols>
          <w:pgMar w:left="1320" w:top="144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200"/>
          </w:cols>
          <w:pgMar w:left="1320" w:top="1440" w:right="137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This report must be preceded or accompanied by a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Visit Us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carlylecreditcncomefund.com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Call Us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(866) 277-8243</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Fund’s transfer agent is Equiniti Trust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PO Box 500, Newark, NJ 07101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All rights reserved.</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CCIFSAR 05192026</w:t>
      </w:r>
    </w:p>
    <w:p>
      <w:pPr>
        <w:sectPr>
          <w:pgSz w:w="11900" w:h="16838" w:orient="portrait"/>
          <w:cols w:equalWidth="0" w:num="1">
            <w:col w:w="9139"/>
          </w:cols>
          <w:pgMar w:left="1320" w:top="1440" w:right="1440" w:bottom="1440" w:gutter="0" w:footer="0" w:header="0"/>
        </w:sectPr>
      </w:pPr>
    </w:p>
    <w:bookmarkStart w:id="43" w:name="page44"/>
    <w:bookmarkEnd w:id="43"/>
    <w:p>
      <w:pPr>
        <w:spacing w:after="0" w:line="3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2. Code of Ethics</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 for semi-annual reports.</w:t>
      </w:r>
    </w:p>
    <w:p>
      <w:pPr>
        <w:spacing w:after="0" w:line="2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3. Audit Committee Financial Expert</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 for semi-annual reports.</w:t>
      </w: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4. Principal Accountant Fees and Services</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 for semi-annual reports.</w:t>
      </w:r>
    </w:p>
    <w:p>
      <w:pPr>
        <w:spacing w:after="0" w:line="3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5. Audit Committee of Listed Companies</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 for semi-annual reports.</w:t>
      </w: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6. Schedule of Investments</w:t>
      </w:r>
    </w:p>
    <w:p>
      <w:pPr>
        <w:spacing w:after="0" w:line="129" w:lineRule="exact"/>
        <w:rPr>
          <w:sz w:val="20"/>
          <w:szCs w:val="20"/>
          <w:color w:val="auto"/>
        </w:rPr>
      </w:pPr>
    </w:p>
    <w:p>
      <w:pPr>
        <w:ind w:left="1620" w:right="1599" w:hanging="680"/>
        <w:spacing w:after="0" w:line="263" w:lineRule="auto"/>
        <w:tabs>
          <w:tab w:leader="none" w:pos="1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schedule of investments is included as part of the Reports to Shareholders filed under Item 1(a) of this report.</w:t>
      </w:r>
    </w:p>
    <w:p>
      <w:pPr>
        <w:spacing w:after="0" w:line="217" w:lineRule="exact"/>
        <w:rPr>
          <w:rFonts w:ascii="Times New Roman" w:cs="Times New Roman" w:eastAsia="Times New Roman" w:hAnsi="Times New Roman"/>
          <w:sz w:val="16"/>
          <w:szCs w:val="16"/>
          <w:color w:val="auto"/>
        </w:rPr>
      </w:pPr>
    </w:p>
    <w:p>
      <w:pPr>
        <w:ind w:left="1580" w:hanging="640"/>
        <w:spacing w:after="0"/>
        <w:tabs>
          <w:tab w:leader="none" w:pos="1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7. Financial Statements and Financial Highlights for Open-End Management Investment Companies</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8. Changes in and Disagreements with Accountants for Open-End Management Investment Companies</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9. Proxy Disclosures for Open-End Management Investment Companies</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10. Remuneration Paid to Directors, Officers, and Others of Open-End Management Investment Companies</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11. Statement Regarding Basis for Approval of Investment Advisory Contract</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0" w:lineRule="exact"/>
        <w:rPr>
          <w:sz w:val="20"/>
          <w:szCs w:val="20"/>
          <w:color w:val="auto"/>
        </w:rPr>
      </w:pPr>
    </w:p>
    <w:p>
      <w:pPr>
        <w:ind w:left="940" w:right="2379"/>
        <w:spacing w:after="0" w:line="442"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Item 12. Disclosure of Proxy Voting Policies and Procedures for Closed-End Funds </w:t>
      </w:r>
      <w:r>
        <w:rPr>
          <w:rFonts w:ascii="Times New Roman" w:cs="Times New Roman" w:eastAsia="Times New Roman" w:hAnsi="Times New Roman"/>
          <w:sz w:val="16"/>
          <w:szCs w:val="16"/>
          <w:color w:val="auto"/>
        </w:rPr>
        <w:t>Not applicable for semi-annual reports.</w:t>
      </w:r>
    </w:p>
    <w:p>
      <w:pPr>
        <w:spacing w:after="0" w:line="78" w:lineRule="exact"/>
        <w:rPr>
          <w:sz w:val="20"/>
          <w:szCs w:val="20"/>
          <w:color w:val="auto"/>
        </w:rPr>
      </w:pPr>
    </w:p>
    <w:p>
      <w:pPr>
        <w:ind w:left="940" w:right="2519"/>
        <w:spacing w:after="0" w:line="442"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Item 13. Portfolio Managers of Closed-End Management Investment Companies </w:t>
      </w:r>
      <w:r>
        <w:rPr>
          <w:rFonts w:ascii="Times New Roman" w:cs="Times New Roman" w:eastAsia="Times New Roman" w:hAnsi="Times New Roman"/>
          <w:sz w:val="16"/>
          <w:szCs w:val="16"/>
          <w:color w:val="auto"/>
        </w:rPr>
        <w:t>(a)(1) Not applicable for semi-annual reports.</w:t>
      </w:r>
    </w:p>
    <w:p>
      <w:pPr>
        <w:spacing w:after="0" w:line="242"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16"/>
          <w:szCs w:val="16"/>
          <w:color w:val="auto"/>
        </w:rPr>
        <w:t>(a)(2)</w:t>
      </w:r>
      <w:r>
        <w:rPr>
          <w:sz w:val="20"/>
          <w:szCs w:val="20"/>
          <w:color w:val="auto"/>
        </w:rPr>
        <w:tab/>
      </w:r>
      <w:r>
        <w:rPr>
          <w:rFonts w:ascii="Times New Roman" w:cs="Times New Roman" w:eastAsia="Times New Roman" w:hAnsi="Times New Roman"/>
          <w:sz w:val="16"/>
          <w:szCs w:val="16"/>
          <w:color w:val="auto"/>
        </w:rPr>
        <w:t>Not applicable for semi-annual reports.</w:t>
      </w:r>
    </w:p>
    <w:p>
      <w:pPr>
        <w:spacing w:after="0" w:line="397"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16"/>
          <w:szCs w:val="16"/>
          <w:color w:val="auto"/>
        </w:rPr>
        <w:t>(a)(3)</w:t>
      </w:r>
      <w:r>
        <w:rPr>
          <w:sz w:val="20"/>
          <w:szCs w:val="20"/>
          <w:color w:val="auto"/>
        </w:rPr>
        <w:tab/>
      </w:r>
      <w:r>
        <w:rPr>
          <w:rFonts w:ascii="Times New Roman" w:cs="Times New Roman" w:eastAsia="Times New Roman" w:hAnsi="Times New Roman"/>
          <w:sz w:val="16"/>
          <w:szCs w:val="16"/>
          <w:color w:val="auto"/>
        </w:rPr>
        <w:t>Not applicable for semi-annual reports.</w:t>
      </w:r>
    </w:p>
    <w:p>
      <w:pPr>
        <w:spacing w:after="0" w:line="397"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16"/>
          <w:szCs w:val="16"/>
          <w:color w:val="auto"/>
        </w:rPr>
        <w:t>(a)(4)</w:t>
      </w:r>
      <w:r>
        <w:rPr>
          <w:sz w:val="20"/>
          <w:szCs w:val="20"/>
          <w:color w:val="auto"/>
        </w:rPr>
        <w:tab/>
      </w:r>
      <w:r>
        <w:rPr>
          <w:rFonts w:ascii="Times New Roman" w:cs="Times New Roman" w:eastAsia="Times New Roman" w:hAnsi="Times New Roman"/>
          <w:sz w:val="16"/>
          <w:szCs w:val="16"/>
          <w:color w:val="auto"/>
        </w:rPr>
        <w:t>Not applicable for semi-annual reports.</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940" w:right="260"/>
        <w:spacing w:after="0" w:line="280" w:lineRule="auto"/>
        <w:tabs>
          <w:tab w:leader="none" w:pos="158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change, as of the date of this filing, in any of the portfolio managers identified in response to paragraph (a)(1) of this Item in the registrant’s most recently filed annual report on Form N-CSR.</w:t>
      </w:r>
    </w:p>
    <w:p>
      <w:pPr>
        <w:spacing w:after="0" w:line="257" w:lineRule="exact"/>
        <w:rPr>
          <w:sz w:val="20"/>
          <w:szCs w:val="20"/>
          <w:color w:val="auto"/>
        </w:rPr>
      </w:pPr>
    </w:p>
    <w:p>
      <w:pPr>
        <w:ind w:left="940" w:right="80"/>
        <w:spacing w:after="0" w:line="442"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Item 14. Purchases of Equity Securities by Closed-End Management Investment Company and Affiliated Purchasers </w:t>
      </w: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15. Submission of Matters to a Vote of Security Holders</w:t>
      </w:r>
    </w:p>
    <w:p>
      <w:pPr>
        <w:spacing w:after="0" w:line="102" w:lineRule="exact"/>
        <w:rPr>
          <w:sz w:val="20"/>
          <w:szCs w:val="20"/>
          <w:color w:val="auto"/>
        </w:rPr>
      </w:pPr>
    </w:p>
    <w:p>
      <w:pPr>
        <w:ind w:left="940" w:right="60"/>
        <w:spacing w:after="0" w:line="263" w:lineRule="auto"/>
        <w:rPr>
          <w:sz w:val="20"/>
          <w:szCs w:val="20"/>
          <w:color w:val="auto"/>
        </w:rPr>
      </w:pPr>
      <w:r>
        <w:rPr>
          <w:rFonts w:ascii="Times New Roman" w:cs="Times New Roman" w:eastAsia="Times New Roman" w:hAnsi="Times New Roman"/>
          <w:sz w:val="16"/>
          <w:szCs w:val="16"/>
          <w:color w:val="auto"/>
        </w:rPr>
        <w:t>There were no material changes to the procedures by which the Shareholders may recommend nominees to the Board during the period covered by the semi-annual report included in Item 1(a) of this Form N-CSR.</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16. Controls and Procedures</w:t>
      </w:r>
    </w:p>
    <w:p>
      <w:pPr>
        <w:spacing w:after="0" w:line="102" w:lineRule="exact"/>
        <w:rPr>
          <w:sz w:val="20"/>
          <w:szCs w:val="20"/>
          <w:color w:val="auto"/>
        </w:rPr>
      </w:pPr>
    </w:p>
    <w:p>
      <w:pPr>
        <w:ind w:left="1580" w:hanging="640"/>
        <w:spacing w:after="0" w:line="232" w:lineRule="auto"/>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evaluation of the Registrant’s disclosure controls and procedures as of a date within 90 days of the filing date of this Form N-CSR, the principal executive officer and principal financial officer of the Registrant have concluded that the disclosure controls and procedures of the Registrant are reasonably designed to ensure that the information required in filings on Form N-CSR is recorded, processed, summarized, and reported by the filing date, including that information required to be disclosed is accumulated and communicated to the Registrant’s management, including the Registrant’s principal executive officer and principal financial officer, as appropriate to allow timely decisions regarding required disclosure.</w:t>
      </w:r>
    </w:p>
    <w:p>
      <w:pPr>
        <w:spacing w:after="0" w:line="145" w:lineRule="exact"/>
        <w:rPr>
          <w:rFonts w:ascii="Times New Roman" w:cs="Times New Roman" w:eastAsia="Times New Roman" w:hAnsi="Times New Roman"/>
          <w:sz w:val="16"/>
          <w:szCs w:val="16"/>
          <w:color w:val="auto"/>
        </w:rPr>
      </w:pPr>
    </w:p>
    <w:p>
      <w:pPr>
        <w:ind w:left="1580" w:right="100" w:hanging="640"/>
        <w:spacing w:after="0" w:line="246" w:lineRule="auto"/>
        <w:tabs>
          <w:tab w:leader="none" w:pos="1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significant changes in the Registrant’s internal control over financial reporting that occurred during the period covered by this report that have materially affected, or are reasonably likely to materially affect, the Registrant’s internal control over financial reporting.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Item 17. Disclosure of Securities Lending Activities for Closed-End Management Investment Companies</w:t>
      </w:r>
    </w:p>
    <w:p>
      <w:pPr>
        <w:spacing w:after="0" w:line="115" w:lineRule="exact"/>
        <w:rPr>
          <w:sz w:val="20"/>
          <w:szCs w:val="20"/>
          <w:color w:val="auto"/>
        </w:rPr>
      </w:pPr>
    </w:p>
    <w:p>
      <w:pPr>
        <w:ind w:left="1580" w:hanging="640"/>
        <w:spacing w:after="0"/>
        <w:tabs>
          <w:tab w:leader="none" w:pos="1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61" w:lineRule="exact"/>
        <w:rPr>
          <w:rFonts w:ascii="Times New Roman" w:cs="Times New Roman" w:eastAsia="Times New Roman" w:hAnsi="Times New Roman"/>
          <w:sz w:val="16"/>
          <w:szCs w:val="16"/>
          <w:color w:val="auto"/>
        </w:rPr>
      </w:pPr>
    </w:p>
    <w:p>
      <w:pPr>
        <w:ind w:left="1580" w:hanging="640"/>
        <w:spacing w:after="0"/>
        <w:tabs>
          <w:tab w:leader="none" w:pos="1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18. Recovery of Erroneously Awarded Compensation</w:t>
      </w:r>
    </w:p>
    <w:p>
      <w:pPr>
        <w:spacing w:after="0" w:line="102" w:lineRule="exact"/>
        <w:rPr>
          <w:sz w:val="20"/>
          <w:szCs w:val="20"/>
          <w:color w:val="auto"/>
        </w:rPr>
      </w:pPr>
    </w:p>
    <w:p>
      <w:pPr>
        <w:ind w:left="1580" w:hanging="640"/>
        <w:spacing w:after="0"/>
        <w:tabs>
          <w:tab w:leader="none" w:pos="1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61" w:lineRule="exact"/>
        <w:rPr>
          <w:rFonts w:ascii="Times New Roman" w:cs="Times New Roman" w:eastAsia="Times New Roman" w:hAnsi="Times New Roman"/>
          <w:sz w:val="16"/>
          <w:szCs w:val="16"/>
          <w:color w:val="auto"/>
        </w:rPr>
      </w:pPr>
    </w:p>
    <w:p>
      <w:pPr>
        <w:ind w:left="1580" w:hanging="640"/>
        <w:spacing w:after="0"/>
        <w:tabs>
          <w:tab w:leader="none" w:pos="1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u w:val="single" w:color="auto"/>
          <w:color w:val="auto"/>
        </w:rPr>
        <w:t>Item 19. Exhibits</w:t>
      </w:r>
    </w:p>
    <w:p>
      <w:pPr>
        <w:spacing w:after="0" w:line="250" w:lineRule="exact"/>
        <w:rPr>
          <w:sz w:val="20"/>
          <w:szCs w:val="20"/>
          <w:color w:val="auto"/>
        </w:rPr>
      </w:pPr>
    </w:p>
    <w:p>
      <w:pPr>
        <w:ind w:left="1000"/>
        <w:spacing w:after="0"/>
        <w:tabs>
          <w:tab w:leader="none" w:pos="1620" w:val="left"/>
        </w:tabs>
        <w:rPr>
          <w:sz w:val="20"/>
          <w:szCs w:val="20"/>
          <w:color w:val="auto"/>
        </w:rPr>
      </w:pPr>
      <w:r>
        <w:rPr>
          <w:rFonts w:ascii="Times New Roman" w:cs="Times New Roman" w:eastAsia="Times New Roman" w:hAnsi="Times New Roman"/>
          <w:sz w:val="16"/>
          <w:szCs w:val="16"/>
          <w:color w:val="auto"/>
        </w:rPr>
        <w:t>(a)(1)</w:t>
      </w:r>
      <w:r>
        <w:rPr>
          <w:sz w:val="20"/>
          <w:szCs w:val="20"/>
          <w:color w:val="auto"/>
        </w:rPr>
        <w:tab/>
      </w:r>
      <w:r>
        <w:rPr>
          <w:rFonts w:ascii="Times New Roman" w:cs="Times New Roman" w:eastAsia="Times New Roman" w:hAnsi="Times New Roman"/>
          <w:sz w:val="16"/>
          <w:szCs w:val="16"/>
          <w:color w:val="auto"/>
        </w:rPr>
        <w:t>Not applicable for semi-annual reports.</w:t>
      </w:r>
    </w:p>
    <w:p>
      <w:pPr>
        <w:spacing w:after="0" w:line="86" w:lineRule="exact"/>
        <w:rPr>
          <w:sz w:val="20"/>
          <w:szCs w:val="20"/>
          <w:color w:val="auto"/>
        </w:rPr>
      </w:pPr>
    </w:p>
    <w:p>
      <w:pPr>
        <w:ind w:left="1000"/>
        <w:spacing w:after="0"/>
        <w:tabs>
          <w:tab w:leader="none" w:pos="1620" w:val="left"/>
        </w:tabs>
        <w:rPr>
          <w:sz w:val="20"/>
          <w:szCs w:val="20"/>
          <w:color w:val="auto"/>
        </w:rPr>
      </w:pPr>
      <w:r>
        <w:rPr>
          <w:rFonts w:ascii="Times New Roman" w:cs="Times New Roman" w:eastAsia="Times New Roman" w:hAnsi="Times New Roman"/>
          <w:sz w:val="16"/>
          <w:szCs w:val="16"/>
          <w:color w:val="auto"/>
        </w:rPr>
        <w:t>(a)(2)</w:t>
      </w:r>
      <w:r>
        <w:rPr>
          <w:sz w:val="20"/>
          <w:szCs w:val="20"/>
          <w:color w:val="auto"/>
        </w:rPr>
        <w:tab/>
      </w:r>
      <w:r>
        <w:rPr>
          <w:rFonts w:ascii="Times New Roman" w:cs="Times New Roman" w:eastAsia="Times New Roman" w:hAnsi="Times New Roman"/>
          <w:sz w:val="16"/>
          <w:szCs w:val="16"/>
          <w:color w:val="auto"/>
        </w:rPr>
        <w:t>Not applicable for semi-annual reports.</w:t>
      </w:r>
    </w:p>
    <w:p>
      <w:pPr>
        <w:spacing w:after="0" w:line="46" w:lineRule="exact"/>
        <w:rPr>
          <w:sz w:val="20"/>
          <w:szCs w:val="20"/>
          <w:color w:val="auto"/>
        </w:rPr>
      </w:pPr>
    </w:p>
    <w:p>
      <w:pPr>
        <w:ind w:left="1000" w:right="300" w:firstLine="634"/>
        <w:spacing w:after="0" w:line="280" w:lineRule="auto"/>
        <w:rPr>
          <w:sz w:val="20"/>
          <w:szCs w:val="20"/>
          <w:color w:val="auto"/>
        </w:rPr>
      </w:pPr>
      <w:r>
        <w:rPr>
          <w:rFonts w:ascii="Times New Roman" w:cs="Times New Roman" w:eastAsia="Times New Roman" w:hAnsi="Times New Roman"/>
          <w:sz w:val="16"/>
          <w:szCs w:val="16"/>
          <w:u w:val="single" w:color="auto"/>
          <w:color w:val="0000FF"/>
        </w:rPr>
        <w:t xml:space="preserve">Certifications required by Section 302 of the Sarbanes-Oxley Act of 2002 (and Item 19(a)(3) of Form N-CSR) </w:t>
      </w:r>
      <w:r>
        <w:rPr>
          <w:rFonts w:ascii="Times New Roman" w:cs="Times New Roman" w:eastAsia="Times New Roman" w:hAnsi="Times New Roman"/>
          <w:sz w:val="16"/>
          <w:szCs w:val="16"/>
          <w:color w:val="000000"/>
        </w:rPr>
        <w:t xml:space="preserve">(a)(3) </w:t>
      </w:r>
      <w:r>
        <w:rPr>
          <w:rFonts w:ascii="Times New Roman" w:cs="Times New Roman" w:eastAsia="Times New Roman" w:hAnsi="Times New Roman"/>
          <w:sz w:val="16"/>
          <w:szCs w:val="16"/>
          <w:u w:val="single" w:color="auto"/>
          <w:color w:val="0000FF"/>
        </w:rPr>
        <w:t>are filed herewith.</w:t>
      </w:r>
    </w:p>
    <w:p>
      <w:pPr>
        <w:spacing w:after="0" w:line="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u w:val="single" w:color="auto"/>
          <w:color w:val="0000FF"/>
        </w:rPr>
        <w:t>Certifications required by Section 906 of the Sarbanes-Oxley Act of 2002 (and Item 19(b) of Form N-CSR) are</w:t>
      </w:r>
    </w:p>
    <w:p>
      <w:pPr>
        <w:spacing w:after="0" w:line="10" w:lineRule="exact"/>
        <w:rPr>
          <w:sz w:val="20"/>
          <w:szCs w:val="20"/>
          <w:color w:val="auto"/>
        </w:rPr>
      </w:pPr>
    </w:p>
    <w:p>
      <w:pPr>
        <w:ind w:left="1640" w:hanging="639"/>
        <w:spacing w:after="0"/>
        <w:tabs>
          <w:tab w:leader="none" w:pos="1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filed herewith.</w:t>
      </w:r>
    </w:p>
    <w:p>
      <w:pPr>
        <w:sectPr>
          <w:pgSz w:w="11900" w:h="16838" w:orient="portrait"/>
          <w:cols w:equalWidth="0" w:num="1">
            <w:col w:w="9080"/>
          </w:cols>
          <w:pgMar w:left="1440" w:top="1440" w:right="1379" w:bottom="1440" w:gutter="0" w:footer="0" w:header="0"/>
        </w:sectPr>
      </w:pPr>
    </w:p>
    <w:bookmarkStart w:id="45" w:name="page46"/>
    <w:bookmarkEnd w:id="45"/>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19(a)(3)</w:t>
      </w:r>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Nishil Mehta certify that:</w:t>
      </w:r>
    </w:p>
    <w:p>
      <w:pPr>
        <w:spacing w:after="0" w:line="117" w:lineRule="exact"/>
        <w:rPr>
          <w:sz w:val="20"/>
          <w:szCs w:val="20"/>
          <w:color w:val="auto"/>
        </w:rPr>
      </w:pPr>
    </w:p>
    <w:p>
      <w:pPr>
        <w:ind w:left="620" w:hanging="328"/>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Carlyle Credit Income Fund;</w:t>
      </w:r>
    </w:p>
    <w:p>
      <w:pPr>
        <w:spacing w:after="0" w:line="117" w:lineRule="exact"/>
        <w:rPr>
          <w:rFonts w:ascii="Times New Roman" w:cs="Times New Roman" w:eastAsia="Times New Roman" w:hAnsi="Times New Roman"/>
          <w:sz w:val="18"/>
          <w:szCs w:val="18"/>
          <w:color w:val="auto"/>
        </w:rPr>
      </w:pPr>
    </w:p>
    <w:p>
      <w:pPr>
        <w:ind w:left="620" w:right="379" w:hanging="328"/>
        <w:spacing w:after="0" w:line="266"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20" w:right="399" w:hanging="328"/>
        <w:spacing w:after="0" w:line="261"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620" w:right="439" w:hanging="328"/>
        <w:spacing w:after="0" w:line="261"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71" w:lineRule="exact"/>
        <w:rPr>
          <w:rFonts w:ascii="Times New Roman" w:cs="Times New Roman" w:eastAsia="Times New Roman" w:hAnsi="Times New Roman"/>
          <w:sz w:val="18"/>
          <w:szCs w:val="18"/>
          <w:color w:val="auto"/>
        </w:rPr>
      </w:pPr>
    </w:p>
    <w:p>
      <w:pPr>
        <w:ind w:left="940" w:right="399" w:hanging="324"/>
        <w:spacing w:after="0" w:line="261"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40" w:right="399" w:hanging="324"/>
        <w:spacing w:after="0" w:line="261"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40" w:right="379" w:hanging="324"/>
        <w:spacing w:after="0" w:line="266"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67" w:lineRule="exact"/>
        <w:rPr>
          <w:rFonts w:ascii="Times New Roman" w:cs="Times New Roman" w:eastAsia="Times New Roman" w:hAnsi="Times New Roman"/>
          <w:sz w:val="18"/>
          <w:szCs w:val="18"/>
          <w:color w:val="auto"/>
        </w:rPr>
      </w:pPr>
    </w:p>
    <w:p>
      <w:pPr>
        <w:ind w:left="940" w:right="379" w:hanging="324"/>
        <w:spacing w:after="0" w:line="266"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20" w:right="999" w:hanging="328"/>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940" w:right="359" w:hanging="324"/>
        <w:spacing w:after="0" w:line="266"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40" w:right="499" w:hanging="324"/>
        <w:spacing w:after="0" w:line="282" w:lineRule="auto"/>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 Nishil Mehta</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By: Nishil Mehta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Date: 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19(a)(3)</w:t>
      </w:r>
    </w:p>
    <w:p>
      <w:pPr>
        <w:spacing w:after="0" w:line="3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SARBANES-OXLEY ACT OF 2002</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Nelson Joseph certify that:</w:t>
      </w:r>
    </w:p>
    <w:p>
      <w:pPr>
        <w:spacing w:after="0" w:line="117" w:lineRule="exact"/>
        <w:rPr>
          <w:sz w:val="20"/>
          <w:szCs w:val="20"/>
          <w:color w:val="auto"/>
        </w:rPr>
      </w:pPr>
    </w:p>
    <w:p>
      <w:pPr>
        <w:ind w:left="620" w:hanging="328"/>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Carlyle Credit Income Fund;</w:t>
      </w:r>
    </w:p>
    <w:p>
      <w:pPr>
        <w:sectPr>
          <w:pgSz w:w="11900" w:h="16864" w:orient="portrait"/>
          <w:cols w:equalWidth="0" w:num="1">
            <w:col w:w="9019"/>
          </w:cols>
          <w:pgMar w:left="1440" w:top="846" w:right="1440" w:bottom="0" w:gutter="0" w:footer="0" w:header="0"/>
        </w:sectPr>
      </w:pPr>
    </w:p>
    <w:bookmarkStart w:id="46" w:name="page47"/>
    <w:bookmarkEnd w:id="46"/>
    <w:p>
      <w:pPr>
        <w:ind w:left="620" w:right="379" w:hanging="328"/>
        <w:spacing w:after="0" w:line="266"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000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7700010"/>
                    </a:xfrm>
                    <a:prstGeom prst="rect">
                      <a:avLst/>
                    </a:prstGeom>
                    <a:noFill/>
                  </pic:spPr>
                </pic:pic>
              </a:graphicData>
            </a:graphic>
          </wp:anchor>
        </w:drawing>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20" w:right="399" w:hanging="328"/>
        <w:spacing w:after="0" w:line="261"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620" w:right="439" w:hanging="328"/>
        <w:spacing w:after="0" w:line="261"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71" w:lineRule="exact"/>
        <w:rPr>
          <w:rFonts w:ascii="Times New Roman" w:cs="Times New Roman" w:eastAsia="Times New Roman" w:hAnsi="Times New Roman"/>
          <w:sz w:val="18"/>
          <w:szCs w:val="18"/>
          <w:color w:val="auto"/>
        </w:rPr>
      </w:pPr>
    </w:p>
    <w:p>
      <w:pPr>
        <w:ind w:left="940" w:right="399" w:hanging="324"/>
        <w:spacing w:after="0" w:line="261"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40" w:right="399" w:hanging="324"/>
        <w:spacing w:after="0" w:line="261"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940" w:right="379" w:hanging="324"/>
        <w:spacing w:after="0" w:line="266"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67" w:lineRule="exact"/>
        <w:rPr>
          <w:rFonts w:ascii="Times New Roman" w:cs="Times New Roman" w:eastAsia="Times New Roman" w:hAnsi="Times New Roman"/>
          <w:sz w:val="18"/>
          <w:szCs w:val="18"/>
          <w:color w:val="auto"/>
        </w:rPr>
      </w:pPr>
    </w:p>
    <w:p>
      <w:pPr>
        <w:ind w:left="940" w:right="379" w:hanging="324"/>
        <w:spacing w:after="0" w:line="266"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20" w:right="999" w:hanging="328"/>
        <w:spacing w:after="0" w:line="282"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940" w:right="359" w:hanging="324"/>
        <w:spacing w:after="0" w:line="266"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40" w:right="499" w:hanging="324"/>
        <w:spacing w:after="0" w:line="282" w:lineRule="auto"/>
        <w:tabs>
          <w:tab w:leader="none" w:pos="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 Nelson Joseph</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By: Nelson Joseph</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Date: May 19, 2026</w:t>
      </w:r>
    </w:p>
    <w:p>
      <w:pPr>
        <w:sectPr>
          <w:pgSz w:w="11900" w:h="16838" w:orient="portrait"/>
          <w:cols w:equalWidth="0" w:num="1">
            <w:col w:w="9019"/>
          </w:cols>
          <w:pgMar w:left="1440" w:top="202" w:right="1440" w:bottom="1440" w:gutter="0" w:footer="0" w:header="0"/>
        </w:sectPr>
      </w:pPr>
    </w:p>
    <w:bookmarkStart w:id="47" w:name="page48"/>
    <w:bookmarkEnd w:id="47"/>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19(b)</w:t>
      </w:r>
    </w:p>
    <w:p>
      <w:pPr>
        <w:spacing w:after="0" w:line="200" w:lineRule="exact"/>
        <w:rPr>
          <w:sz w:val="20"/>
          <w:szCs w:val="20"/>
          <w:color w:val="auto"/>
        </w:rPr>
      </w:pPr>
    </w:p>
    <w:p>
      <w:pPr>
        <w:spacing w:after="0" w:line="349"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Nishil Mehta, Principal Executive Officer, and Nelson Joseph, Principal Financial Officer, of Carlyle Credit Income Fund (the “Registrant”), each certify to the best of his or her knowledge that:</w:t>
      </w:r>
    </w:p>
    <w:p>
      <w:pPr>
        <w:spacing w:after="0" w:line="54" w:lineRule="exact"/>
        <w:rPr>
          <w:sz w:val="20"/>
          <w:szCs w:val="20"/>
          <w:color w:val="auto"/>
        </w:rPr>
      </w:pPr>
    </w:p>
    <w:p>
      <w:pPr>
        <w:ind w:left="940" w:right="579" w:hanging="324"/>
        <w:spacing w:after="0" w:line="266"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periodic report on Form N-CSR for the period ended March 31, 2026 (the “Form N-CSR”) fully complies with the requirements of Section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940" w:right="619" w:hanging="324"/>
        <w:spacing w:after="0" w:line="261"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N-CSR fairly presents, in all material respects, the financial condition and results of operations of the Registrant. This certification is being furnished to the Commission solely pursuant to 18 U.S.C. § 1350 and is not being filed as part of the Form N-CSR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70"/>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Carlyle Credit Income Fund</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Carlyle Credit Income Fund</w:t>
            </w:r>
          </w:p>
        </w:tc>
      </w:tr>
      <w:tr>
        <w:trPr>
          <w:trHeight w:val="574"/>
        </w:trPr>
        <w:tc>
          <w:tcPr>
            <w:tcW w:w="4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Nishil Mehta</w:t>
            </w:r>
          </w:p>
        </w:tc>
        <w:tc>
          <w:tcPr>
            <w:tcW w:w="140" w:type="dxa"/>
            <w:vAlign w:val="bottom"/>
          </w:tcPr>
          <w:p>
            <w:pPr>
              <w:spacing w:after="0"/>
              <w:rPr>
                <w:sz w:val="24"/>
                <w:szCs w:val="24"/>
                <w:color w:val="auto"/>
              </w:rPr>
            </w:pPr>
          </w:p>
        </w:tc>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Nelson Joseph</w:t>
            </w:r>
          </w:p>
        </w:tc>
      </w:tr>
      <w:tr>
        <w:trPr>
          <w:trHeight w:val="256"/>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Nishil Mehta</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Nelson Joseph</w:t>
            </w:r>
          </w:p>
        </w:tc>
      </w:tr>
      <w:tr>
        <w:trPr>
          <w:trHeight w:val="567"/>
        </w:trPr>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Date: May 19, 2026</w:t>
            </w:r>
          </w:p>
        </w:tc>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May 19, 2026</w:t>
            </w:r>
          </w:p>
        </w:tc>
      </w:tr>
    </w:tbl>
    <w:p>
      <w:pPr>
        <w:spacing w:after="0" w:line="1" w:lineRule="exact"/>
        <w:rPr>
          <w:sz w:val="20"/>
          <w:szCs w:val="20"/>
          <w:color w:val="auto"/>
        </w:rPr>
      </w:pPr>
    </w:p>
    <w:sectPr>
      <w:pgSz w:w="11900" w:h="16838" w:orient="portrait"/>
      <w:cols w:equalWidth="0" w:num="1">
        <w:col w:w="9019"/>
      </w:cols>
      <w:pgMar w:left="1440" w:top="8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2"/>
      <w:numFmt w:val="bullet"/>
      <w:start w:val="1"/>
    </w:lvl>
  </w:abstractNum>
  <w:abstractNum w:abstractNumId="3">
    <w:nsid w:val="628C895D"/>
    <w:multiLevelType w:val="hybridMultilevel"/>
    <w:lvl w:ilvl="0">
      <w:lvlJc w:val="left"/>
      <w:lvlText w:val="%1"/>
      <w:numFmt w:val="upperLetter"/>
      <w:start w:val="28"/>
    </w:lvl>
  </w:abstractNum>
  <w:abstractNum w:abstractNumId="4">
    <w:nsid w:val="333AB105"/>
    <w:multiLevelType w:val="hybridMultilevel"/>
    <w:lvl w:ilvl="0">
      <w:lvlJc w:val="left"/>
      <w:lvlText w:val="%1"/>
      <w:numFmt w:val="decimal"/>
      <w:start w:val="1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6"/>
    </w:lvl>
    <w:lvl w:ilvl="1">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1)"/>
      <w:numFmt w:val="decimal"/>
      <w:start w:val="7"/>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3"/>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5"/>
    </w:lvl>
  </w:abstractNum>
  <w:abstractNum w:abstractNumId="23">
    <w:nsid w:val="7C3DBD3D"/>
    <w:multiLevelType w:val="hybridMultilevel"/>
    <w:lvl w:ilvl="0">
      <w:lvlJc w:val="left"/>
      <w:lvlText w:val="(%1)"/>
      <w:numFmt w:val="decimal"/>
      <w:start w:val="3"/>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2026-05-19T15:05:03Z</dcterms:created>
  <dcterms:modified xsi:type="dcterms:W3CDTF">2026-05-19T15:05:03Z</dcterms:modified>
</cp:coreProperties>
</file>