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171450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14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CARLYLE CREDIT INCOME FUND</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STATEMENTS (UNAUDITED)</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JUNE 30, 2024</w:t>
      </w:r>
    </w:p>
    <w:p>
      <w:pPr>
        <w:sectPr>
          <w:pgSz w:w="11900" w:h="16838" w:orient="portrait"/>
          <w:cols w:equalWidth="0" w:num="1">
            <w:col w:w="10139"/>
          </w:cols>
          <w:pgMar w:left="320" w:top="1440" w:right="1440" w:bottom="1440" w:gutter="0" w:footer="0" w:header="0"/>
        </w:sectPr>
      </w:pPr>
    </w:p>
    <w:bookmarkStart w:id="1" w:name="page2"/>
    <w:bookmarkEnd w:id="1"/>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Carlyle Credit Income Fund</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Carlyle Credit Income Fund is an externally managed closed-end fund focused on primarily investing in equity and junior debt tranches of collateralized loan obligations ("CLOs"). The CLOs are collateralized by a portfolio consisting primarily of U.S. senior secured loans with a large number of distinct underlying borrowers across various industry sectors. With Carlyle Global Credit Investment Management L.L.C. ("Carlyle" or “CGCIM”) as its investment adviser, the Fund draws upon the significant scale and resources of Carlyle and its affiliates as one of the world's largest CLO managers. For more information, visit www.carlylecreditincomefund.com.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9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3820" w:type="dxa"/>
            <w:vAlign w:val="bottom"/>
            <w:gridSpan w:val="3"/>
          </w:tcPr>
          <w:p>
            <w:pPr>
              <w:ind w:left="346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94"/>
        </w:trPr>
        <w:tc>
          <w:tcPr>
            <w:tcW w:w="61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Statement of Assets and Liabilities</w:t>
            </w:r>
          </w:p>
        </w:tc>
        <w:tc>
          <w:tcPr>
            <w:tcW w:w="3680" w:type="dxa"/>
            <w:vAlign w:val="bottom"/>
            <w:gridSpan w:val="2"/>
          </w:tcPr>
          <w:p>
            <w:pPr>
              <w:jc w:val="center"/>
              <w:ind w:left="35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Investments</w:t>
            </w:r>
          </w:p>
        </w:tc>
        <w:tc>
          <w:tcPr>
            <w:tcW w:w="3680" w:type="dxa"/>
            <w:vAlign w:val="bottom"/>
            <w:gridSpan w:val="2"/>
          </w:tcPr>
          <w:p>
            <w:pPr>
              <w:jc w:val="center"/>
              <w:ind w:left="3510"/>
              <w:spacing w:after="0"/>
              <w:rPr>
                <w:sz w:val="20"/>
                <w:szCs w:val="20"/>
                <w:color w:val="auto"/>
              </w:rPr>
            </w:pPr>
            <w:r>
              <w:rPr>
                <w:rFonts w:ascii="Times New Roman" w:cs="Times New Roman" w:eastAsia="Times New Roman" w:hAnsi="Times New Roman"/>
                <w:sz w:val="18"/>
                <w:szCs w:val="18"/>
                <w:color w:val="0000FF"/>
                <w:w w:val="88"/>
              </w:rPr>
              <w:t>2</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Operations</w:t>
            </w:r>
          </w:p>
        </w:tc>
        <w:tc>
          <w:tcPr>
            <w:tcW w:w="3680" w:type="dxa"/>
            <w:vAlign w:val="bottom"/>
            <w:gridSpan w:val="2"/>
          </w:tcPr>
          <w:p>
            <w:pPr>
              <w:jc w:val="center"/>
              <w:ind w:left="3510"/>
              <w:spacing w:after="0"/>
              <w:rPr>
                <w:sz w:val="20"/>
                <w:szCs w:val="20"/>
                <w:color w:val="auto"/>
              </w:rPr>
            </w:pPr>
            <w:r>
              <w:rPr>
                <w:rFonts w:ascii="Times New Roman" w:cs="Times New Roman" w:eastAsia="Times New Roman" w:hAnsi="Times New Roman"/>
                <w:sz w:val="18"/>
                <w:szCs w:val="18"/>
                <w:color w:val="0000FF"/>
                <w:w w:val="88"/>
              </w:rPr>
              <w:t>4</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of Changes in Net Assets</w:t>
            </w:r>
          </w:p>
        </w:tc>
        <w:tc>
          <w:tcPr>
            <w:tcW w:w="3680" w:type="dxa"/>
            <w:vAlign w:val="bottom"/>
            <w:gridSpan w:val="2"/>
          </w:tcPr>
          <w:p>
            <w:pPr>
              <w:jc w:val="center"/>
              <w:ind w:left="3510"/>
              <w:spacing w:after="0"/>
              <w:rPr>
                <w:sz w:val="20"/>
                <w:szCs w:val="20"/>
                <w:color w:val="auto"/>
              </w:rPr>
            </w:pPr>
            <w:r>
              <w:rPr>
                <w:rFonts w:ascii="Times New Roman" w:cs="Times New Roman" w:eastAsia="Times New Roman" w:hAnsi="Times New Roman"/>
                <w:sz w:val="18"/>
                <w:szCs w:val="18"/>
                <w:color w:val="0000FF"/>
                <w:w w:val="88"/>
              </w:rPr>
              <w:t>5</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3680" w:type="dxa"/>
            <w:vAlign w:val="bottom"/>
            <w:gridSpan w:val="2"/>
          </w:tcPr>
          <w:p>
            <w:pPr>
              <w:jc w:val="center"/>
              <w:ind w:left="3510"/>
              <w:spacing w:after="0"/>
              <w:rPr>
                <w:sz w:val="20"/>
                <w:szCs w:val="20"/>
                <w:color w:val="auto"/>
              </w:rPr>
            </w:pPr>
            <w:r>
              <w:rPr>
                <w:rFonts w:ascii="Times New Roman" w:cs="Times New Roman" w:eastAsia="Times New Roman" w:hAnsi="Times New Roman"/>
                <w:sz w:val="18"/>
                <w:szCs w:val="18"/>
                <w:color w:val="0000FF"/>
                <w:w w:val="88"/>
              </w:rPr>
              <w:t>6</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3680" w:type="dxa"/>
            <w:vAlign w:val="bottom"/>
            <w:gridSpan w:val="2"/>
          </w:tcPr>
          <w:p>
            <w:pPr>
              <w:jc w:val="center"/>
              <w:ind w:left="3510"/>
              <w:spacing w:after="0"/>
              <w:rPr>
                <w:sz w:val="20"/>
                <w:szCs w:val="20"/>
                <w:color w:val="auto"/>
              </w:rPr>
            </w:pPr>
            <w:r>
              <w:rPr>
                <w:rFonts w:ascii="Times New Roman" w:cs="Times New Roman" w:eastAsia="Times New Roman" w:hAnsi="Times New Roman"/>
                <w:sz w:val="18"/>
                <w:szCs w:val="18"/>
                <w:color w:val="0000FF"/>
                <w:w w:val="88"/>
              </w:rPr>
              <w:t>7</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Highlights</w:t>
            </w:r>
          </w:p>
        </w:tc>
        <w:tc>
          <w:tcPr>
            <w:tcW w:w="3680" w:type="dxa"/>
            <w:vAlign w:val="bottom"/>
            <w:gridSpan w:val="2"/>
          </w:tcPr>
          <w:p>
            <w:pPr>
              <w:jc w:val="center"/>
              <w:ind w:left="341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0139"/>
          </w:cols>
          <w:pgMar w:left="320" w:top="133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99"/>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at fair value (cost $147,090,807)</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138,000,907</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8,013,669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receivable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5,839,221</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310,860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201,188</w:t>
            </w: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152,365,845</w:t>
            </w:r>
          </w:p>
        </w:tc>
        <w:tc>
          <w:tcPr>
            <w:tcW w:w="0" w:type="dxa"/>
            <w:vAlign w:val="bottom"/>
          </w:tcPr>
          <w:p>
            <w:pPr>
              <w:spacing w:after="0"/>
              <w:rPr>
                <w:sz w:val="1"/>
                <w:szCs w:val="1"/>
                <w:color w:val="auto"/>
              </w:rPr>
            </w:pPr>
          </w:p>
        </w:tc>
      </w:tr>
      <w:tr>
        <w:trPr>
          <w:trHeight w:val="469"/>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Mandatory Redeemable Preferred Shares (net of unamortized deferred issuance costs of $1,864,970) (Note 7)</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50,135,030</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 payable</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847,843</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payable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447,818</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 payable</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636,019</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Administration fees payable</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73,322</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55,605</w:t>
            </w: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52,195,637</w:t>
            </w:r>
          </w:p>
        </w:tc>
        <w:tc>
          <w:tcPr>
            <w:tcW w:w="0" w:type="dxa"/>
            <w:vAlign w:val="bottom"/>
          </w:tcPr>
          <w:p>
            <w:pPr>
              <w:spacing w:after="0"/>
              <w:rPr>
                <w:sz w:val="1"/>
                <w:szCs w:val="1"/>
                <w:color w:val="auto"/>
              </w:rPr>
            </w:pPr>
          </w:p>
        </w:tc>
      </w:tr>
      <w:tr>
        <w:trPr>
          <w:trHeight w:val="199"/>
        </w:trPr>
        <w:tc>
          <w:tcPr>
            <w:tcW w:w="9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8)</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100,170,208</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COMPOSITION OF NET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122,559,284</w:t>
            </w:r>
          </w:p>
        </w:tc>
        <w:tc>
          <w:tcPr>
            <w:tcW w:w="0" w:type="dxa"/>
            <w:vAlign w:val="bottom"/>
          </w:tcPr>
          <w:p>
            <w:pPr>
              <w:spacing w:after="0"/>
              <w:rPr>
                <w:sz w:val="1"/>
                <w:szCs w:val="1"/>
                <w:color w:val="auto"/>
              </w:rPr>
            </w:pP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distributable earnings (losses)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(22,389,076)</w:t>
            </w:r>
          </w:p>
        </w:tc>
        <w:tc>
          <w:tcPr>
            <w:tcW w:w="0" w:type="dxa"/>
            <w:vAlign w:val="bottom"/>
          </w:tcPr>
          <w:p>
            <w:pPr>
              <w:spacing w:after="0"/>
              <w:rPr>
                <w:sz w:val="1"/>
                <w:szCs w:val="1"/>
                <w:color w:val="auto"/>
              </w:rPr>
            </w:pP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100,170,208</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Common shares outstanding (no par value)</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13,048,818</w:t>
            </w:r>
          </w:p>
        </w:tc>
        <w:tc>
          <w:tcPr>
            <w:tcW w:w="0" w:type="dxa"/>
            <w:vAlign w:val="bottom"/>
          </w:tcPr>
          <w:p>
            <w:pPr>
              <w:spacing w:after="0"/>
              <w:rPr>
                <w:sz w:val="1"/>
                <w:szCs w:val="1"/>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 value per share of common stock</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100"/>
          </w:cols>
          <w:pgMar w:left="320" w:top="133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20" w:type="dxa"/>
            <w:vAlign w:val="bottom"/>
            <w:vMerge w:val="restart"/>
          </w:tcPr>
          <w:p>
            <w:pPr>
              <w:ind w:left="1040"/>
              <w:spacing w:after="0"/>
              <w:rPr>
                <w:sz w:val="20"/>
                <w:szCs w:val="20"/>
                <w:color w:val="auto"/>
              </w:rPr>
            </w:pPr>
            <w:r>
              <w:rPr>
                <w:rFonts w:ascii="Times New Roman" w:cs="Times New Roman" w:eastAsia="Times New Roman" w:hAnsi="Times New Roman"/>
                <w:sz w:val="28"/>
                <w:szCs w:val="28"/>
                <w:b w:val="1"/>
                <w:bCs w:val="1"/>
                <w:color w:val="auto"/>
                <w:vertAlign w:val="subscript"/>
              </w:rPr>
              <w:t>Issuer</w:t>
            </w:r>
            <w:r>
              <w:rPr>
                <w:rFonts w:ascii="Times New Roman" w:cs="Times New Roman" w:eastAsia="Times New Roman" w:hAnsi="Times New Roman"/>
                <w:sz w:val="9"/>
                <w:szCs w:val="9"/>
                <w:b w:val="1"/>
                <w:bCs w:val="1"/>
                <w:color w:val="auto"/>
              </w:rPr>
              <w:t xml:space="preserve"> (1)(6)</w:t>
            </w:r>
          </w:p>
        </w:tc>
        <w:tc>
          <w:tcPr>
            <w:tcW w:w="282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Investment Description</w:t>
            </w:r>
          </w:p>
        </w:tc>
        <w:tc>
          <w:tcPr>
            <w:tcW w:w="162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(3)</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auto"/>
            </w:tcBorders>
            <w:vMerge w:val="continue"/>
          </w:tcPr>
          <w:p>
            <w:pPr>
              <w:spacing w:after="0"/>
              <w:rPr>
                <w:sz w:val="14"/>
                <w:szCs w:val="14"/>
                <w:color w:val="auto"/>
              </w:rPr>
            </w:pPr>
          </w:p>
        </w:tc>
        <w:tc>
          <w:tcPr>
            <w:tcW w:w="282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9"/>
                <w:szCs w:val="9"/>
                <w:b w:val="1"/>
                <w:bCs w:val="1"/>
                <w:color w:val="auto"/>
              </w:rPr>
              <w:t>(2)</w:t>
            </w: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3" w:lineRule="exact"/>
              <w:rPr>
                <w:sz w:val="20"/>
                <w:szCs w:val="20"/>
                <w:color w:val="auto"/>
              </w:rPr>
            </w:pPr>
            <w:r>
              <w:rPr>
                <w:rFonts w:ascii="Times New Roman" w:cs="Times New Roman" w:eastAsia="Times New Roman" w:hAnsi="Times New Roman"/>
                <w:sz w:val="14"/>
                <w:szCs w:val="14"/>
                <w:b w:val="1"/>
                <w:bCs w:val="1"/>
                <w:color w:val="auto"/>
              </w:rPr>
              <w:t>CLO - Equity</w:t>
            </w:r>
            <w:r>
              <w:rPr>
                <w:rFonts w:ascii="Times New Roman" w:cs="Times New Roman" w:eastAsia="Times New Roman" w:hAnsi="Times New Roman"/>
                <w:sz w:val="18"/>
                <w:szCs w:val="18"/>
                <w:b w:val="1"/>
                <w:bCs w:val="1"/>
                <w:color w:val="auto"/>
                <w:vertAlign w:val="superscript"/>
              </w:rPr>
              <w:t>(4)(5)</w:t>
            </w:r>
          </w:p>
        </w:tc>
        <w:tc>
          <w:tcPr>
            <w:tcW w:w="2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14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522 Funding CLO 2021-7,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AGL CLO 17,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Aimco CLO 10,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Aimco CLO 14,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Apidos CLO XXXIX,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Ares LIX CLO,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Ares LVI CLO,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Ares LX CLO,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Ballyrock CLO 15,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Ballyrock CLO 18,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Ballyrock CLO 19,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Barings CLO, Ltd. 2019-III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Barings CLO, Ltd. 2021-I</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Benefit Street Partners CLO XXIII,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CIFC Funding 2020-III,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Elmwood CLO 16,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Elmwood CLO VI,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Elmwood CLO VII,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Galaxy XXII CLO,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Invesco CLO 2021-1,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Invesco CLO 2022-1,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KKR CLO 25,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KKR CLO 31,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KKR CLO 33,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Madison Park Funding LXII,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Magnetite XIX,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MidOcean Credit CLO XI,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MidOcean Credit CLO XIV, Ltd.</w:t>
      </w:r>
    </w:p>
    <w:p>
      <w:pPr>
        <w:spacing w:after="0" w:line="42"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4"/>
          <w:szCs w:val="14"/>
          <w:color w:val="auto"/>
        </w:rPr>
        <w:t>Neuberger Berman Loan Advisers CLO 38, Ltd.</w:t>
      </w:r>
    </w:p>
    <w:p>
      <w:pPr>
        <w:spacing w:after="0" w:line="1"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Neuberger Berman Loan Advisers CLO 41, Ltd.</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Niagara Park CLO,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OCP CLO 2015-9, Ltd.</w:t>
      </w:r>
    </w:p>
    <w:p>
      <w:pPr>
        <w:spacing w:after="0" w:line="20" w:lineRule="exact"/>
        <w:rPr>
          <w:sz w:val="20"/>
          <w:szCs w:val="20"/>
          <w:color w:val="auto"/>
        </w:rPr>
      </w:pPr>
      <w:r>
        <w:rPr>
          <w:sz w:val="20"/>
          <w:szCs w:val="20"/>
          <w:color w:val="auto"/>
        </w:rPr>
        <w:br w:type="column"/>
      </w:r>
    </w:p>
    <w:p>
      <w:pPr>
        <w:ind w:right="280"/>
        <w:spacing w:after="0" w:line="239" w:lineRule="auto"/>
        <w:rPr>
          <w:sz w:val="20"/>
          <w:szCs w:val="20"/>
          <w:color w:val="auto"/>
        </w:rPr>
      </w:pPr>
      <w:r>
        <w:rPr>
          <w:rFonts w:ascii="Times New Roman" w:cs="Times New Roman" w:eastAsia="Times New Roman" w:hAnsi="Times New Roman"/>
          <w:sz w:val="14"/>
          <w:szCs w:val="14"/>
          <w:color w:val="auto"/>
        </w:rPr>
        <w:t>Subordinated Notes (effective yield 19.19%, 4/23/2034)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16.72%, 1/21/2035)</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23.34%, 7/22/2032)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15.75%, 4/20/2034)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16.80%, 4/21/2035)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22.27%, 4/25/2034)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21.71%, 10/25/2034)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23.79%, 7/18/2034)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17.33%, 4/15/2034)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16.09%, 1/15/2035)</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21.46%, 4/20/2035)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36.07%, 4/20/2031)</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21.46%, 4/25/2034)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20.63%, 4/25/2034)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17.30%, 10/20/2034)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16.22%, 4/20/2034)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19.02%, 10/20/2034)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23.55%, 1/17/2034)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20.75%, 4/16/2034)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19.34%, 4/15/2034)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21.42%, 4/20/2035)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21.47%, 7/15/2034)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20.66%, 4/20/2034)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20.94%, 7/20/2034)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16.85%, 7/17/2036)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16.15%, 4/17/2034)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24.76%, 10/18/2033)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15.58%, 4/15/2037)</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19.61%, 10/20/2035)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18.70%, 4/15/2034)</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34.56%, 7/17/2032)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80"/>
        <w:spacing w:after="0" w:line="261" w:lineRule="auto"/>
        <w:rPr>
          <w:sz w:val="20"/>
          <w:szCs w:val="20"/>
          <w:color w:val="auto"/>
        </w:rPr>
      </w:pPr>
      <w:r>
        <w:rPr>
          <w:rFonts w:ascii="Times New Roman" w:cs="Times New Roman" w:eastAsia="Times New Roman" w:hAnsi="Times New Roman"/>
          <w:sz w:val="14"/>
          <w:szCs w:val="14"/>
          <w:color w:val="auto"/>
        </w:rPr>
        <w:t>Subordinated Notes (effective yield 28.45%, 1/15/2033)</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7/27/2023 $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4,505,000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2,710,790</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2,401,647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5/06/2024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2,151,875</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2,105,604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11/27/2023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11,071,800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6,096,221</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6,489,878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4,557,259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4,486,567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5/02/2024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4,185,145</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4,078,010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12/07/2023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4,835,938</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5,022,869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8/24/2023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2,482,200</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2,626,394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11/29/2023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837,327</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935,232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8/16/2023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3,402,606</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3,398,493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8/16/2023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1,764,653</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1,582,605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5/06/2024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1,935,000</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1,861,716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r>
      <w:tr>
        <w:trPr>
          <w:trHeight w:val="337"/>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12/13/2023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2,539,896</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2,179,304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2,076,759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1,957,988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8/02/2023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6,990,417</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7,360,637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9/20/2023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6,732,472</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6,327,207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8/10/2023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3,669,693</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3,887,034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1,384,716</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1,350,631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1,116,204</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1,091,807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12/15/2023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1,944,292</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1,650,114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1.65 %</w:t>
            </w:r>
          </w:p>
        </w:tc>
      </w:tr>
      <w:tr>
        <w:trPr>
          <w:trHeight w:val="337"/>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9/20/2023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3,261,307</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2,833,018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10/25/2023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3,306,693</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3,065,880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12/11/2023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1,653,027</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1,667,509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12/7/2023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4,215,980</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4,002,603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9/13/2023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3,335,795</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3,192,476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7/25/2023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8,771,495</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7,028,718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9/15/2023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8,614,583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5,398,569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4,742,705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1/12/2024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3,912,718</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3,565,365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2/15/2024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4,819,499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4,740,794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8/1/2023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5,649,492</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5,388,139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5.38 %</w:t>
            </w:r>
          </w:p>
        </w:tc>
      </w:tr>
      <w:tr>
        <w:trPr>
          <w:trHeight w:val="337"/>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11/1/2023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2,793,069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2,596,884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r>
      <w:tr>
        <w:trPr>
          <w:trHeight w:val="338"/>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12/1/2023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3,598,789</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3,445,880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3.44 %</w:t>
            </w:r>
          </w:p>
        </w:tc>
      </w:tr>
      <w:tr>
        <w:trPr>
          <w:trHeight w:val="337"/>
        </w:trPr>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12/6/2023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13,000,000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4,644,443</w:t>
            </w:r>
          </w:p>
        </w:tc>
        <w:tc>
          <w:tcPr>
            <w:tcW w:w="280" w:type="dxa"/>
            <w:vAlign w:val="bottom"/>
          </w:tcPr>
          <w:p>
            <w:pPr>
              <w:spacing w:after="0"/>
              <w:rPr>
                <w:sz w:val="24"/>
                <w:szCs w:val="24"/>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4,557,115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r>
    </w:tbl>
    <w:p>
      <w:pPr>
        <w:spacing w:after="0" w:line="226" w:lineRule="exact"/>
        <w:rPr>
          <w:sz w:val="20"/>
          <w:szCs w:val="20"/>
          <w:color w:val="auto"/>
        </w:rPr>
      </w:pPr>
    </w:p>
    <w:p>
      <w:pPr>
        <w:sectPr>
          <w:pgSz w:w="11900" w:h="16838" w:orient="portrait"/>
          <w:cols w:equalWidth="0" w:num="3">
            <w:col w:w="2540" w:space="180"/>
            <w:col w:w="2840" w:space="720"/>
            <w:col w:w="4960"/>
          </w:cols>
          <w:pgMar w:left="320" w:top="117"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376" w:lineRule="exact"/>
        <w:rPr>
          <w:sz w:val="20"/>
          <w:szCs w:val="20"/>
          <w:color w:val="auto"/>
        </w:rPr>
      </w:pPr>
    </w:p>
    <w:tbl>
      <w:tblPr>
        <w:tblLayout w:type="fixed"/>
        <w:tblInd w:w="1040" w:type="dxa"/>
        <w:tblCellMar>
          <w:top w:w="0" w:type="dxa"/>
          <w:left w:w="0" w:type="dxa"/>
          <w:bottom w:w="0" w:type="dxa"/>
          <w:right w:w="0" w:type="dxa"/>
        </w:tblCellMar>
      </w:tblPr>
      <w:tr>
        <w:trPr>
          <w:trHeight w:val="187"/>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Issuer </w:t>
            </w:r>
            <w:r>
              <w:rPr>
                <w:rFonts w:ascii="Times New Roman" w:cs="Times New Roman" w:eastAsia="Times New Roman" w:hAnsi="Times New Roman"/>
                <w:sz w:val="18"/>
                <w:szCs w:val="18"/>
                <w:b w:val="1"/>
                <w:bCs w:val="1"/>
                <w:color w:val="auto"/>
                <w:vertAlign w:val="superscript"/>
              </w:rPr>
              <w:t>(1)(6)</w:t>
            </w:r>
          </w:p>
        </w:tc>
        <w:tc>
          <w:tcPr>
            <w:tcW w:w="28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Investment Description</w:t>
            </w:r>
          </w:p>
        </w:tc>
        <w:tc>
          <w:tcPr>
            <w:tcW w:w="160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(3)</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 of Net Assets</w:t>
            </w:r>
          </w:p>
        </w:tc>
        <w:tc>
          <w:tcPr>
            <w:tcW w:w="0" w:type="dxa"/>
            <w:vAlign w:val="bottom"/>
          </w:tcPr>
          <w:p>
            <w:pPr>
              <w:spacing w:after="0"/>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1600" w:type="dxa"/>
            <w:vAlign w:val="bottom"/>
          </w:tcPr>
          <w:p>
            <w:pPr>
              <w:jc w:val="right"/>
              <w:ind w:right="541"/>
              <w:spacing w:after="0"/>
              <w:rPr>
                <w:sz w:val="20"/>
                <w:szCs w:val="20"/>
                <w:color w:val="auto"/>
              </w:rPr>
            </w:pPr>
            <w:r>
              <w:rPr>
                <w:rFonts w:ascii="Times New Roman" w:cs="Times New Roman" w:eastAsia="Times New Roman" w:hAnsi="Times New Roman"/>
                <w:sz w:val="9"/>
                <w:szCs w:val="9"/>
                <w:b w:val="1"/>
                <w:bCs w:val="1"/>
                <w:color w:val="auto"/>
              </w:rPr>
              <w:t>(2)</w:t>
            </w: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Octagon 55, Ltd.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OHA Credit Partners XIII, Ltd.</w:t>
      </w:r>
    </w:p>
    <w:p>
      <w:pPr>
        <w:spacing w:after="0" w:line="177" w:lineRule="exact"/>
        <w:rPr>
          <w:sz w:val="20"/>
          <w:szCs w:val="20"/>
          <w:color w:val="auto"/>
        </w:rPr>
      </w:pPr>
    </w:p>
    <w:p>
      <w:pPr>
        <w:jc w:val="both"/>
        <w:ind w:left="20" w:right="1360" w:firstLine="6"/>
        <w:spacing w:after="0" w:line="503" w:lineRule="auto"/>
        <w:tabs>
          <w:tab w:leader="none" w:pos="2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Ltd. RR 6, Ltd.</w:t>
      </w:r>
    </w:p>
    <w:p>
      <w:pPr>
        <w:ind w:left="20" w:right="480"/>
        <w:spacing w:after="0" w:line="4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Signal Peak CLO 10, Ltd. Voya CLO 2020-2, Ltd. Voya CLO 2020-3, Ltd.</w:t>
      </w:r>
    </w:p>
    <w:p>
      <w:pPr>
        <w:spacing w:after="0" w:line="20" w:lineRule="exact"/>
        <w:rPr>
          <w:sz w:val="20"/>
          <w:szCs w:val="20"/>
          <w:color w:val="auto"/>
        </w:rPr>
      </w:pPr>
      <w:r>
        <w:rPr>
          <w:sz w:val="20"/>
          <w:szCs w:val="20"/>
          <w:color w:val="auto"/>
        </w:rPr>
        <w:br w:type="column"/>
      </w:r>
    </w:p>
    <w:p>
      <w:pPr>
        <w:ind w:right="340"/>
        <w:spacing w:after="0" w:line="239" w:lineRule="auto"/>
        <w:rPr>
          <w:sz w:val="20"/>
          <w:szCs w:val="20"/>
          <w:color w:val="auto"/>
        </w:rPr>
      </w:pPr>
      <w:r>
        <w:rPr>
          <w:rFonts w:ascii="Times New Roman" w:cs="Times New Roman" w:eastAsia="Times New Roman" w:hAnsi="Times New Roman"/>
          <w:sz w:val="14"/>
          <w:szCs w:val="14"/>
          <w:color w:val="auto"/>
        </w:rPr>
        <w:t>Subordinated Notes (effective yield 22.76%, 7/20/2034)</w:t>
      </w:r>
    </w:p>
    <w:p>
      <w:pPr>
        <w:spacing w:after="0" w:line="1"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21.76%, 10/21/2034)</w:t>
      </w:r>
    </w:p>
    <w:p>
      <w:pPr>
        <w:spacing w:after="0" w:line="1"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17.02%, 4/15/2036)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34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23.45%, 4/15/2036)</w:t>
      </w:r>
    </w:p>
    <w:p>
      <w:pPr>
        <w:spacing w:after="0" w:line="1"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21.96%, 1/24/2035)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-207645</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340"/>
        <w:spacing w:after="0" w:line="251" w:lineRule="auto"/>
        <w:rPr>
          <w:sz w:val="20"/>
          <w:szCs w:val="20"/>
          <w:color w:val="auto"/>
        </w:rPr>
      </w:pPr>
      <w:r>
        <w:rPr>
          <w:rFonts w:ascii="Times New Roman" w:cs="Times New Roman" w:eastAsia="Times New Roman" w:hAnsi="Times New Roman"/>
          <w:sz w:val="14"/>
          <w:szCs w:val="14"/>
          <w:color w:val="auto"/>
        </w:rPr>
        <w:t>Subordinated Notes (effective yield 18.65%, 7/19/2034)</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4"/>
          <w:szCs w:val="14"/>
          <w:color w:val="auto"/>
        </w:rPr>
        <w:t>Subordinated Notes (effective yield 18.56%, 10/20/2034)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-215265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7/19/2023 $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3,341,967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3,042,406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7/17/2023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2,950,000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1,668,768</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2,157,219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1/18/2024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6,701,276</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5,776,899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4/25/2024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2,206,250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1,620,601</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1,554,788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3/28/2024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1,642,077</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1,428,215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8/2/2023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8,213,042</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7,302,748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8/3/2023</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2,949,109</w:t>
            </w:r>
          </w:p>
        </w:tc>
        <w:tc>
          <w:tcPr>
            <w:tcW w:w="280" w:type="dxa"/>
            <w:vAlign w:val="bottom"/>
          </w:tcPr>
          <w:p>
            <w:pPr>
              <w:spacing w:after="0"/>
              <w:rPr>
                <w:sz w:val="24"/>
                <w:szCs w:val="2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2,770,445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6" w:lineRule="exact"/>
        <w:rPr>
          <w:sz w:val="20"/>
          <w:szCs w:val="20"/>
          <w:color w:val="auto"/>
        </w:rPr>
      </w:pPr>
    </w:p>
    <w:p>
      <w:pPr>
        <w:sectPr>
          <w:pgSz w:w="11900" w:h="16838" w:orient="portrait"/>
          <w:cols w:equalWidth="0" w:num="3">
            <w:col w:w="2000" w:space="720"/>
            <w:col w:w="2900" w:space="720"/>
            <w:col w:w="4900"/>
          </w:cols>
          <w:pgMar w:left="320" w:top="117" w:right="33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CLO Equity</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CLO - Subordinated Fee Note </w:t>
            </w:r>
            <w:r>
              <w:rPr>
                <w:rFonts w:ascii="Times New Roman" w:cs="Times New Roman" w:eastAsia="Times New Roman" w:hAnsi="Times New Roman"/>
                <w:sz w:val="18"/>
                <w:szCs w:val="18"/>
                <w:b w:val="1"/>
                <w:bCs w:val="1"/>
                <w:color w:val="auto"/>
                <w:vertAlign w:val="superscript"/>
              </w:rPr>
              <w:t>(4)(5)</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Invesco CLO 2022-1, Ltd.</w:t>
            </w:r>
          </w:p>
        </w:tc>
        <w:tc>
          <w:tcPr>
            <w:tcW w:w="3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Subordinated Fee Notes (effective yield 32.05%,</w:t>
            </w:r>
          </w:p>
        </w:tc>
        <w:tc>
          <w:tcPr>
            <w:tcW w:w="0" w:type="dxa"/>
            <w:vAlign w:val="bottom"/>
          </w:tcPr>
          <w:p>
            <w:pPr>
              <w:spacing w:after="0"/>
              <w:rPr>
                <w:sz w:val="1"/>
                <w:szCs w:val="1"/>
                <w:color w:val="auto"/>
              </w:rPr>
            </w:pPr>
          </w:p>
        </w:tc>
      </w:tr>
      <w:tr>
        <w:trPr>
          <w:trHeight w:val="188"/>
        </w:trPr>
        <w:tc>
          <w:tcPr>
            <w:tcW w:w="2400" w:type="dxa"/>
            <w:vAlign w:val="bottom"/>
            <w:vMerge w:val="continue"/>
          </w:tcPr>
          <w:p>
            <w:pPr>
              <w:spacing w:after="0"/>
              <w:rPr>
                <w:sz w:val="16"/>
                <w:szCs w:val="16"/>
                <w:color w:val="auto"/>
              </w:rPr>
            </w:pPr>
          </w:p>
        </w:tc>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4/20/2035)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tabs>
          <w:tab w:leader="none" w:pos="2700" w:val="left"/>
        </w:tabs>
        <w:rPr>
          <w:sz w:val="20"/>
          <w:szCs w:val="20"/>
          <w:color w:val="auto"/>
        </w:rPr>
      </w:pPr>
      <w:r>
        <w:rPr>
          <w:rFonts w:ascii="Times New Roman" w:cs="Times New Roman" w:eastAsia="Times New Roman" w:hAnsi="Times New Roman"/>
          <w:sz w:val="14"/>
          <w:szCs w:val="14"/>
          <w:color w:val="auto"/>
        </w:rPr>
        <w:t>Neuberger Berman Loan Advisers CLO 38,</w:t>
        <w:tab/>
        <w:t>Subordinated Fee Notes (effective yield 21.88%,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20"/>
        <w:spacing w:after="0"/>
        <w:tabs>
          <w:tab w:leader="none" w:pos="2700" w:val="left"/>
        </w:tabs>
        <w:rPr>
          <w:sz w:val="20"/>
          <w:szCs w:val="20"/>
          <w:color w:val="auto"/>
        </w:rPr>
      </w:pPr>
      <w:r>
        <w:rPr>
          <w:rFonts w:ascii="Times New Roman" w:cs="Times New Roman" w:eastAsia="Times New Roman" w:hAnsi="Times New Roman"/>
          <w:sz w:val="14"/>
          <w:szCs w:val="14"/>
          <w:color w:val="auto"/>
        </w:rPr>
        <w:t>Ltd.</w:t>
      </w:r>
      <w:r>
        <w:rPr>
          <w:sz w:val="20"/>
          <w:szCs w:val="20"/>
          <w:color w:val="auto"/>
        </w:rPr>
        <w:tab/>
      </w:r>
      <w:r>
        <w:rPr>
          <w:rFonts w:ascii="Times New Roman" w:cs="Times New Roman" w:eastAsia="Times New Roman" w:hAnsi="Times New Roman"/>
          <w:sz w:val="14"/>
          <w:szCs w:val="14"/>
          <w:color w:val="auto"/>
        </w:rPr>
        <w:t>10/20/2035)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142,911,179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135,653,543</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135.42 %</w:t>
            </w:r>
          </w:p>
        </w:tc>
      </w:tr>
      <w:tr>
        <w:trPr>
          <w:trHeight w:val="503"/>
        </w:trPr>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9"/>
              </w:rPr>
              <w:t>10/25/2023 $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126,116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131,208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38"/>
        </w:trPr>
        <w:tc>
          <w:tcPr>
            <w:tcW w:w="9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8/1/2023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69,788</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49,633</w:t>
            </w:r>
          </w:p>
        </w:tc>
        <w:tc>
          <w:tcPr>
            <w:tcW w:w="22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41,156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3" w:lineRule="exact"/>
        <w:rPr>
          <w:sz w:val="20"/>
          <w:szCs w:val="20"/>
          <w:color w:val="auto"/>
        </w:rPr>
      </w:pPr>
    </w:p>
    <w:p>
      <w:pPr>
        <w:sectPr>
          <w:pgSz w:w="11900" w:h="16838" w:orient="portrait"/>
          <w:cols w:equalWidth="0" w:num="2">
            <w:col w:w="5540" w:space="720"/>
            <w:col w:w="49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CLO Subordinated Fee Notes</w:t>
            </w:r>
          </w:p>
        </w:tc>
        <w:tc>
          <w:tcPr>
            <w:tcW w:w="286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175,749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172,364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0.17 %</w:t>
            </w:r>
          </w:p>
        </w:tc>
      </w:tr>
      <w:tr>
        <w:trPr>
          <w:trHeight w:val="189"/>
        </w:trPr>
        <w:tc>
          <w:tcPr>
            <w:tcW w:w="2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Real Estate</w:t>
            </w:r>
            <w:r>
              <w:rPr>
                <w:rFonts w:ascii="Times New Roman" w:cs="Times New Roman" w:eastAsia="Times New Roman" w:hAnsi="Times New Roman"/>
                <w:sz w:val="18"/>
                <w:szCs w:val="18"/>
                <w:b w:val="1"/>
                <w:bCs w:val="1"/>
                <w:color w:val="auto"/>
                <w:vertAlign w:val="superscript"/>
              </w:rPr>
              <w:t>(7)</w:t>
            </w:r>
          </w:p>
        </w:tc>
        <w:tc>
          <w:tcPr>
            <w:tcW w:w="28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5"/>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Moores Crossing - Travis County, TX</w:t>
            </w:r>
          </w:p>
        </w:tc>
        <w:tc>
          <w:tcPr>
            <w:tcW w:w="2860" w:type="dxa"/>
            <w:vAlign w:val="bottom"/>
          </w:tcPr>
          <w:p>
            <w:pPr>
              <w:spacing w:after="0"/>
              <w:rPr>
                <w:sz w:val="16"/>
                <w:szCs w:val="16"/>
                <w:color w:val="auto"/>
              </w:rPr>
            </w:pPr>
          </w:p>
        </w:tc>
        <w:tc>
          <w:tcPr>
            <w:tcW w:w="1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7/14/2023 $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4,003,879</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2,175,000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2.17 %</w:t>
            </w:r>
          </w:p>
        </w:tc>
      </w:tr>
      <w:tr>
        <w:trPr>
          <w:trHeight w:val="223"/>
        </w:trPr>
        <w:tc>
          <w:tcPr>
            <w:tcW w:w="260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r>
      <w:tr>
        <w:trPr>
          <w:trHeight w:val="19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86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147,090,807</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138,000,907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137.77 %</w:t>
            </w:r>
          </w:p>
        </w:tc>
      </w:tr>
      <w:tr>
        <w:trPr>
          <w:trHeight w:val="256"/>
        </w:trPr>
        <w:tc>
          <w:tcPr>
            <w:tcW w:w="260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Bank MMDA</w:t>
            </w:r>
          </w:p>
        </w:tc>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Deposit Account</w:t>
            </w:r>
          </w:p>
        </w:tc>
        <w:tc>
          <w:tcPr>
            <w:tcW w:w="1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8,013,669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8,013,669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8,013,669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270"/>
        </w:trPr>
        <w:tc>
          <w:tcPr>
            <w:tcW w:w="2600" w:type="dxa"/>
            <w:vAlign w:val="bottom"/>
            <w:tcBorders>
              <w:bottom w:val="single" w:sz="8" w:color="CCEEFF"/>
            </w:tcBorders>
          </w:tcPr>
          <w:p>
            <w:pPr>
              <w:spacing w:after="0"/>
              <w:rPr>
                <w:sz w:val="23"/>
                <w:szCs w:val="23"/>
                <w:color w:val="auto"/>
              </w:rPr>
            </w:pPr>
          </w:p>
        </w:tc>
        <w:tc>
          <w:tcPr>
            <w:tcW w:w="286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21"/>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 and Cash Equivalents</w:t>
            </w:r>
          </w:p>
        </w:tc>
        <w:tc>
          <w:tcPr>
            <w:tcW w:w="28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155,104,476</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146,014,576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145.77 %</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260" w:right="440" w:hanging="252"/>
        <w:spacing w:after="0" w:line="260" w:lineRule="auto"/>
        <w:tabs>
          <w:tab w:leader="none" w:pos="22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Fund is not affiliated with, nor does it "control" (as such term is defined in the Investment Company Act of 1940 (the "1940 Act")), any of the issuers listed. In general, under the 1940 Act, the Fund would be presumed to "control" an issuer if it owned 25% or more of its voting securities.</w:t>
      </w:r>
    </w:p>
    <w:p>
      <w:pPr>
        <w:ind w:left="220" w:hanging="21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Acquisition date represents the initial date of purchase or the date the investment was contributed to the Fund at the time of the Fund's formation.</w:t>
      </w:r>
    </w:p>
    <w:p>
      <w:pPr>
        <w:spacing w:after="0" w:line="18" w:lineRule="exact"/>
        <w:rPr>
          <w:rFonts w:ascii="Times New Roman" w:cs="Times New Roman" w:eastAsia="Times New Roman" w:hAnsi="Times New Roman"/>
          <w:sz w:val="14"/>
          <w:szCs w:val="14"/>
          <w:color w:val="auto"/>
        </w:rPr>
      </w:pPr>
    </w:p>
    <w:p>
      <w:pPr>
        <w:ind w:left="260" w:right="600" w:hanging="252"/>
        <w:spacing w:after="0" w:line="255" w:lineRule="auto"/>
        <w:tabs>
          <w:tab w:leader="none" w:pos="22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Fair value is determined by the Adviser in accordance with the written valuation policies and procedures, subject to oversight by the Fund's Board of Trustees, in accordance with Rule 2a-5 under the 1940 Act.</w:t>
      </w:r>
    </w:p>
    <w:p>
      <w:pPr>
        <w:ind w:left="220" w:hanging="21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Securities exempt from registration under the Securities Act of 1933, and are deemed to be "restricted securities." As of June 30, 2024, the aggregate fair value of these</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securities is $135,825,907, or 135.59% of the Fund's net assets.</w:t>
      </w:r>
    </w:p>
    <w:p>
      <w:pPr>
        <w:spacing w:after="0" w:line="15" w:lineRule="exact"/>
        <w:rPr>
          <w:sz w:val="20"/>
          <w:szCs w:val="20"/>
          <w:color w:val="auto"/>
        </w:rPr>
      </w:pPr>
    </w:p>
    <w:p>
      <w:pPr>
        <w:ind w:left="260" w:hanging="242"/>
        <w:spacing w:after="0" w:line="253" w:lineRule="auto"/>
        <w:rPr>
          <w:sz w:val="20"/>
          <w:szCs w:val="20"/>
          <w:color w:val="auto"/>
        </w:rPr>
      </w:pPr>
      <w:r>
        <w:rPr>
          <w:rFonts w:ascii="Times New Roman" w:cs="Times New Roman" w:eastAsia="Times New Roman" w:hAnsi="Times New Roman"/>
          <w:sz w:val="14"/>
          <w:szCs w:val="14"/>
          <w:color w:val="auto"/>
        </w:rPr>
        <w:t>(5</w:t>
      </w:r>
      <w:r>
        <w:rPr>
          <w:rFonts w:ascii="Times New Roman" w:cs="Times New Roman" w:eastAsia="Times New Roman" w:hAnsi="Times New Roman"/>
          <w:sz w:val="16"/>
          <w:szCs w:val="16"/>
          <w:color w:val="auto"/>
        </w:rPr>
        <w:t>) CLO subordinated notes and income notes are considered CLO equity positions. CLO equity positions are entitled to recurring distributions which are generally equal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the remaining cash flow of payments made by underlying assets less contractual payments to debt holders and fund expenses. The effective yield is estimated based upon the current projection of the amount and timing of these recurring distributions in addition to the estimated amount of terminal principal payment. It is the Fund's policy to calculate the effective yield for each CLO equity position held within the Fund's portfolio at the initiation of each investment and to update it each subsequent quarter thereafter. The effective yield and investment cost may ultimately not be realized. As of June 30, 2024, the Fund's weighted average effective yield on its aggregate CLO equity positions, based on current amortized cost, was 20.26%.</w:t>
      </w:r>
    </w:p>
    <w:p>
      <w:pPr>
        <w:spacing w:after="0" w:line="1"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fair value of the investment was determined using significant unobservable inputs. See “Note 3. Fair Value Measurements.”</w:t>
      </w:r>
    </w:p>
    <w:p>
      <w:pPr>
        <w:spacing w:after="0" w:line="18" w:lineRule="exact"/>
        <w:rPr>
          <w:rFonts w:ascii="Times New Roman" w:cs="Times New Roman" w:eastAsia="Times New Roman" w:hAnsi="Times New Roman"/>
          <w:sz w:val="14"/>
          <w:szCs w:val="14"/>
          <w:color w:val="auto"/>
        </w:rPr>
      </w:pPr>
    </w:p>
    <w:p>
      <w:pPr>
        <w:ind w:left="260" w:right="620" w:hanging="252"/>
        <w:spacing w:after="0" w:line="270"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Fund inherited a non-income producing defaulted real estate loan from VCIF that was not included in the legacy portfolio sale. Pursuant to a deed-in-lieu of foreclosure on August 10, 2023, the Fund has ownership of the real estate.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r>
      <w:tr>
        <w:trPr>
          <w:trHeight w:val="212"/>
        </w:trPr>
        <w:tc>
          <w:tcPr>
            <w:tcW w:w="8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30, 2024</w:t>
            </w:r>
          </w:p>
        </w:tc>
      </w:tr>
      <w:tr>
        <w:trPr>
          <w:trHeight w:val="19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20,022,696</w:t>
            </w:r>
          </w:p>
        </w:tc>
      </w:tr>
      <w:tr>
        <w:trPr>
          <w:trHeight w:val="204"/>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 income</w:t>
            </w: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20,022,696</w:t>
            </w:r>
          </w:p>
        </w:tc>
      </w:tr>
      <w:tr>
        <w:trPr>
          <w:trHeight w:val="25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3,213,114</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Incentive fees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2,290,343</w:t>
            </w: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Management fees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1,925,649</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fees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1,118,980</w:t>
            </w: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Administration and custodian fees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177,868</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Trustees' fees and expenses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93,579</w:t>
            </w: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405,238</w:t>
            </w:r>
          </w:p>
        </w:tc>
      </w:tr>
      <w:tr>
        <w:trPr>
          <w:trHeight w:val="207"/>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9,224,771</w:t>
            </w:r>
          </w:p>
        </w:tc>
      </w:tr>
      <w:tr>
        <w:trPr>
          <w:trHeight w:val="21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10,797,925</w:t>
            </w:r>
          </w:p>
        </w:tc>
      </w:tr>
      <w:tr>
        <w:trPr>
          <w:trHeight w:val="24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Realized and Unrealized Gain (Loss) On Investments</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realized gain (loss) on investments and foreign currency transactions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(603,040)</w:t>
            </w:r>
          </w:p>
        </w:tc>
      </w:tr>
      <w:tr>
        <w:trPr>
          <w:trHeight w:val="213"/>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 foreign currency, and cash equivalents</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(8,113,223)</w:t>
            </w:r>
          </w:p>
        </w:tc>
      </w:tr>
      <w:tr>
        <w:trPr>
          <w:trHeight w:val="20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Realized and Unrealized Loss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(8,716,263)</w:t>
            </w:r>
          </w:p>
        </w:tc>
      </w:tr>
      <w:tr>
        <w:trPr>
          <w:trHeight w:val="199"/>
        </w:trPr>
        <w:tc>
          <w:tcPr>
            <w:tcW w:w="88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r>
        <w:trPr>
          <w:trHeight w:val="234"/>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Net Assets Attributable to Common Shares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2,081,662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i w:val="1"/>
          <w:iCs w:val="1"/>
          <w:color w:val="auto"/>
        </w:rPr>
        <w:t>See accompanying Notes to the Financial Statements.</w:t>
      </w:r>
    </w:p>
    <w:p>
      <w:pPr>
        <w:spacing w:after="0" w:line="200" w:lineRule="exact"/>
        <w:rPr>
          <w:sz w:val="20"/>
          <w:szCs w:val="20"/>
          <w:color w:val="auto"/>
        </w:rPr>
      </w:pPr>
    </w:p>
    <w:p>
      <w:pPr>
        <w:spacing w:after="0" w:line="26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20"/>
          </w:cols>
          <w:pgMar w:left="320" w:top="1049"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(Unaudited)</w:t>
      </w:r>
    </w:p>
    <w:p>
      <w:pPr>
        <w:spacing w:after="0" w:line="9" w:lineRule="exact"/>
        <w:rPr>
          <w:sz w:val="20"/>
          <w:szCs w:val="20"/>
          <w:color w:val="auto"/>
        </w:rPr>
      </w:pPr>
    </w:p>
    <w:p>
      <w:pPr>
        <w:ind w:right="4600"/>
        <w:spacing w:after="0" w:line="260" w:lineRule="auto"/>
        <w:rPr>
          <w:sz w:val="20"/>
          <w:szCs w:val="20"/>
          <w:color w:val="auto"/>
        </w:rPr>
      </w:pPr>
      <w:r>
        <w:rPr>
          <w:rFonts w:ascii="Times New Roman" w:cs="Times New Roman" w:eastAsia="Times New Roman" w:hAnsi="Times New Roman"/>
          <w:sz w:val="18"/>
          <w:szCs w:val="18"/>
          <w:b w:val="1"/>
          <w:bCs w:val="1"/>
          <w:color w:val="auto"/>
        </w:rPr>
        <w:t>For the Nine Months Ended June 30, 2024 and for the Year Ended September 30, 2023 (</w:t>
      </w:r>
      <w:r>
        <w:rPr>
          <w:rFonts w:ascii="Times New Roman" w:cs="Times New Roman" w:eastAsia="Times New Roman" w:hAnsi="Times New Roman"/>
          <w:sz w:val="18"/>
          <w:szCs w:val="18"/>
          <w:color w:val="auto"/>
        </w:rPr>
        <w:t>expressed in U.S. dollars)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c>
          <w:tcPr>
            <w:tcW w:w="100" w:type="dxa"/>
            <w:vAlign w:val="bottom"/>
          </w:tcPr>
          <w:p>
            <w:pPr>
              <w:spacing w:after="0"/>
              <w:rPr>
                <w:sz w:val="16"/>
                <w:szCs w:val="16"/>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Year Ended September</w:t>
            </w:r>
          </w:p>
        </w:tc>
      </w:tr>
      <w:tr>
        <w:trPr>
          <w:trHeight w:val="212"/>
        </w:trPr>
        <w:tc>
          <w:tcPr>
            <w:tcW w:w="7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30, 2023</w:t>
            </w:r>
          </w:p>
        </w:tc>
      </w:tr>
      <w:tr>
        <w:trPr>
          <w:trHeight w:val="19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net assets from operations:</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10,797,925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572,740</w:t>
            </w:r>
          </w:p>
        </w:tc>
      </w:tr>
      <w:tr>
        <w:trPr>
          <w:trHeight w:val="213"/>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realized gain (loss) on investments and foreign currency transactions</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(10,719,160)</w:t>
            </w:r>
          </w:p>
        </w:tc>
      </w:tr>
      <w:tr>
        <w:trPr>
          <w:trHeight w:val="21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 foreign currency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(8,113,223)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(1,675,639)</w:t>
            </w:r>
          </w:p>
        </w:tc>
      </w:tr>
      <w:tr>
        <w:trPr>
          <w:trHeight w:val="207"/>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net assets resulting from operations</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(11,822,059)</w:t>
            </w:r>
          </w:p>
        </w:tc>
      </w:tr>
      <w:tr>
        <w:trPr>
          <w:trHeight w:val="259"/>
        </w:trPr>
        <w:tc>
          <w:tcPr>
            <w:tcW w:w="7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shareholders from:</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(11,152,434)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(4,512,176)</w:t>
            </w:r>
          </w:p>
        </w:tc>
      </w:tr>
      <w:tr>
        <w:trPr>
          <w:trHeight w:val="213"/>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Return of capital</w:t>
            </w:r>
          </w:p>
        </w:tc>
        <w:tc>
          <w:tcPr>
            <w:tcW w:w="10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(4,166,758)</w:t>
            </w:r>
          </w:p>
        </w:tc>
      </w:tr>
      <w:tr>
        <w:trPr>
          <w:trHeight w:val="212"/>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distributions to shareholders</w:t>
            </w:r>
          </w:p>
        </w:tc>
        <w:tc>
          <w:tcPr>
            <w:tcW w:w="1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(11,152,434)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(8,678,934)</w:t>
            </w:r>
          </w:p>
        </w:tc>
      </w:tr>
      <w:tr>
        <w:trPr>
          <w:trHeight w:val="257"/>
        </w:trPr>
        <w:tc>
          <w:tcPr>
            <w:tcW w:w="7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share transactions</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net assets resulting from beneficial interest:</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10,816,451</w:t>
            </w:r>
          </w:p>
        </w:tc>
      </w:tr>
      <w:tr>
        <w:trPr>
          <w:trHeight w:val="213"/>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Reinvestment of dividends</w:t>
            </w: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605,817</w:t>
            </w: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net assets from capital share transactions</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11,422,268</w:t>
            </w:r>
          </w:p>
        </w:tc>
      </w:tr>
    </w:tbl>
    <w:p>
      <w:pPr>
        <w:spacing w:after="0" w:line="200" w:lineRule="exact"/>
        <w:rPr>
          <w:sz w:val="20"/>
          <w:szCs w:val="20"/>
          <w:color w:val="auto"/>
        </w:rPr>
      </w:pPr>
    </w:p>
    <w:p>
      <w:pPr>
        <w:sectPr>
          <w:pgSz w:w="11900" w:h="16838" w:orient="portrait"/>
          <w:cols w:equalWidth="0" w:num="1">
            <w:col w:w="11240"/>
          </w:cols>
          <w:pgMar w:left="320" w:top="1049"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increase (decrease) in net assets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assets at the beginning of the period</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assets at the end of the period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(9,078,725)</w:t>
            </w:r>
          </w:p>
        </w:tc>
      </w:tr>
      <w:tr>
        <w:trPr>
          <w:trHeight w:val="219"/>
        </w:trPr>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98,750,740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107,829,465</w:t>
            </w:r>
          </w:p>
        </w:tc>
      </w:tr>
      <w:tr>
        <w:trPr>
          <w:trHeight w:val="211"/>
        </w:trPr>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100,170,208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98,750,740</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-453390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-179070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3840"/>
          </w:cols>
          <w:pgMar w:left="320" w:top="1049" w:right="339" w:bottom="1440" w:gutter="0" w:footer="0" w:header="0"/>
          <w:type w:val="continuous"/>
        </w:sectPr>
      </w:pPr>
    </w:p>
    <w:p>
      <w:pPr>
        <w:spacing w:after="0" w:line="12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04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expressed in U.S. dollars)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r>
      <w:tr>
        <w:trPr>
          <w:trHeight w:val="214"/>
        </w:trPr>
        <w:tc>
          <w:tcPr>
            <w:tcW w:w="9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30, 2024</w:t>
            </w:r>
          </w:p>
        </w:tc>
      </w:tr>
      <w:tr>
        <w:trPr>
          <w:trHeight w:val="198"/>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1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2,081,662</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increase in net assets from operations to net cash provided by operating activities: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investments, net of change in payable for investments purchased</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(72,647,723)</w:t>
            </w:r>
          </w:p>
        </w:tc>
      </w:tr>
      <w:tr>
        <w:trPr>
          <w:trHeight w:val="219"/>
        </w:trPr>
        <w:tc>
          <w:tcPr>
            <w:tcW w:w="91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Proceeds from disposition of investments and reductions to investment cost value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19,810,905</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amortization on investments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issuance costs on mandatory redeemable preferred shares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278,826</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realized loss on investments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603,040</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unrealized depreciation on investments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8,113,223</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interest receivable</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(3,514,640)</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receivable for investments sold</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(13,165)</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professional fees payable</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(90,816)</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incentive fee payable</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847,843</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management fee payable</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447,818</w:t>
            </w:r>
          </w:p>
        </w:tc>
      </w:tr>
      <w:tr>
        <w:trPr>
          <w:trHeight w:val="213"/>
        </w:trPr>
        <w:tc>
          <w:tcPr>
            <w:tcW w:w="9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in other payables and accrued expenses</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(200,639)</w:t>
            </w:r>
          </w:p>
        </w:tc>
      </w:tr>
      <w:tr>
        <w:trPr>
          <w:trHeight w:val="20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(42,837,684)</w:t>
            </w:r>
          </w:p>
        </w:tc>
      </w:tr>
      <w:tr>
        <w:trPr>
          <w:trHeight w:val="253"/>
        </w:trPr>
        <w:tc>
          <w:tcPr>
            <w:tcW w:w="9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mandatory redeemable preferred shares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52,000,000</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issuance costs for the issuance of mandatory redeemable preferred shares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(2,143,796)</w:t>
            </w:r>
          </w:p>
        </w:tc>
      </w:tr>
      <w:tr>
        <w:trPr>
          <w:trHeight w:val="213"/>
        </w:trPr>
        <w:tc>
          <w:tcPr>
            <w:tcW w:w="9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common shares issued pursuant to the "at the market" program, net of commissions and fees</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9,954,323</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to shareholders, net of reinvestments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(10,616,517)</w:t>
            </w:r>
          </w:p>
        </w:tc>
      </w:tr>
      <w:tr>
        <w:trPr>
          <w:trHeight w:val="213"/>
        </w:trPr>
        <w:tc>
          <w:tcPr>
            <w:tcW w:w="9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in dividend payable</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(1,159,119)</w:t>
            </w: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48,034,891</w:t>
            </w:r>
          </w:p>
        </w:tc>
      </w:tr>
      <w:tr>
        <w:trPr>
          <w:trHeight w:val="213"/>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5,197,603</w:t>
            </w:r>
          </w:p>
        </w:tc>
      </w:tr>
      <w:tr>
        <w:trPr>
          <w:trHeight w:val="213"/>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2,816,066</w:t>
            </w:r>
          </w:p>
        </w:tc>
      </w:tr>
      <w:tr>
        <w:trPr>
          <w:trHeight w:val="237"/>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8,013,669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3"/>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on preferred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2,934,288</w:t>
            </w:r>
          </w:p>
        </w:tc>
      </w:tr>
      <w:tr>
        <w:trPr>
          <w:trHeight w:val="21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0"/>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Reinvestment of dividends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535,917</w:t>
            </w:r>
          </w:p>
        </w:tc>
      </w:tr>
    </w:tbl>
    <w:p>
      <w:pPr>
        <w:spacing w:after="0" w:line="181" w:lineRule="exact"/>
        <w:rPr>
          <w:sz w:val="20"/>
          <w:szCs w:val="20"/>
          <w:color w:val="auto"/>
        </w:rPr>
      </w:pPr>
    </w:p>
    <w:p>
      <w:pPr>
        <w:ind w:left="260" w:hanging="252"/>
        <w:spacing w:after="0" w:line="298" w:lineRule="auto"/>
        <w:tabs>
          <w:tab w:leader="none" w:pos="22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Proceeds from the disposition of investments and reductions to investment cost value includes $9,364,314 of return of capital on CLO equity investments from recurring cash flows and refinancings during the nine month period ended June 30, 2024.</w:t>
      </w: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60"/>
          </w:cols>
          <w:pgMar w:left="320" w:top="1049"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Carlyle Credit Income Fund (the “Fund”) is a non-diversified, closed-end management investment company registered under the Investment Company Act of 1940, as amended (the “1940 Act”). The Fund was organized as a Delaware statutory trust on April 8, 2011. In addition, the Fund has elected to be treated, and intends to continue to comply with the requirements to qualify annually, as a regulated investment company (“RIC”) under Subchapter M of the Internal Revenue Code of 1986, as amended (together with the rules and regulations promulgated thereunder, the “Code”). The Fund currently has one class of common shares which commenced operations on December 30, 2011. The Fund was previously named Vertical Capital Income Fund (“VCIF”) and was managed by its Adviser, Oakline Advisors LLC (“Oakline”). Effective at the close of business on July 14, 2023, the Fund is managed by its Adviser, Carlyle Global Credit Investment Management L.L.C. (“CGCIM” or the “Adviser”), a wholly owned subsidiary of Carlyle Investment Management L.L.C.</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12, 2023, the Fund entered into a definitive agreement (the “Transaction Agreement”) with the Adviser pursuant to which, among other things, CGCIM would become the investment adviser to the Fund (the “Transaction”). Pursuant to the Transaction Agreement, the investment advisory agreement between the Fund and Oakline terminated at or near the closing of the Transaction (the “Closing”). As a result, the holders of the Fund’s common shares (“Shareholders”) were asked to approve a new investment advisory agreement between the Fund and CGCIM and to approve certain other proposals upon which the Closing was conditioned. The Shareholders approved the new Investment Advisory Agreement and the other proposals at a shareholder meeting on June 15, 2023, followed by the Closing, which occurred on July 14, 2023. In connection with Closing, (i) the Fund sold existing investments with a gross asset value equal to approximately 97% of the total gross asset value of such investments as of August 31, 2022, subject to certain exclusions; (ii) CGCIM replaced Oakline as the Fund’s new investment adviser; (iii) the Fund’s investment strategy was changed to invest primarily in debt and equity tranches issued by collateralized loan obligations; (iv) each of the Fund’s trustees and officers were replaced; (v) the Fund changed its name on July 14, 2023 from Vertical Capital Income Fund to Carlyle Credit Income Fund; and (vi) on July 27, 2023 the Fund’s common shares began trading on NYSE under the symbol “CCIF.” In addition, Shareholders of the Fund received a special one-time payment of $10,000,000 from CGCIM (or one of its affiliates), or approximately $0.96 per common share.</w:t>
      </w:r>
    </w:p>
    <w:p>
      <w:pPr>
        <w:spacing w:after="0" w:line="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closing of the Transaction and pursuant to the Transaction Agreement, (i) CG Subsidiary Holdings L.L.C., an affiliate of the Adviser (the “Purchaser”) commenced a tender offer on July 18, 2023 to purchase up to $25,000,000 of outstanding Fund common shares at the then-current net asset value per common share (the “Tender Offer”), and (ii) the Purchaser agreed to invest $15,000,000 into the Fund through the purchase of newly issued Fund common shares at a price equal to the greater of the then-current net asset value per common share and the net asset value per common share that represents the tender offer purchase price (the “New Issuance”), and through acquiring common shares in private purchases (the “Private Purchase”).</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Tender Offer expired on August 28, 2023, and the Purchaser accepted for purchase 3,012,049 common shares at a purchase price of $8.30 per common share for an aggregate purchase price of $25,000,007, excluding fees and expenses relating to the Tender Offer.</w:t>
      </w:r>
    </w:p>
    <w:p>
      <w:pPr>
        <w:spacing w:after="0" w:line="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September 12, 2023, the Fund closed the New Issuance and issued and sold 1,269,537 common shares to the Purchaser at a purchase price of $8.52 per common share, which price represented the net asset value per common share as of the closing of the New Issuance, for an aggregate purchase price of $10,816,451.</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12, 2023, the Purchaser closed the Private Purchase and acquired 504,042 common shares from existing shareholders of the Fund.</w:t>
      </w:r>
    </w:p>
    <w:p>
      <w:pPr>
        <w:spacing w:after="0" w:line="11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July 14, 2023, the Fund’s investment objective was to generate income by primarily investing in mortgage notes secured by residential real estate. Following the closing of the Transaction, the Fund’s primary investment objective is to generate current income, with a secondary objective to generate capital appreciation. The Fund seeks to achieve its investment objectives by investing primarily in equity and junior debt tranches of collateralized loan obligations (“CLO”) that are collateralized by a portfolio consisting primarily of below investment grade U.S. senior secured loans with a large number of distinct underlying borrowers across various industry sectors. The Fund may also invest in other related securities and instruments or other securities and instruments that the Adviser believes are consistent with its investment objectives, including senior debt tranches of CLOs, loan accumulation facilities (“LAFs”) and securities issued by other securitization vehicles, such as collateralized bond obligations, or “CBOs.” LAFs are short- to medium-term facilities often provided by the bank that will serve as the placement agent or arranger on a CLO transaction. LAFs typically incur leverage between four and six times equity value prior to a CLO’s pricing. The CLO securities in which the Fund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junior debt securities in which the Fund invests are highly leveraged (with CLO equity securities typically being leveraged ten times), which magnifies the Fund’s risk of loss on such investments.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To qualify as a RIC, the Fund must, among other things, meet certain source-of-income and asset diversification requirements and timely distribute to its shareholders generally at least 90% of its investment company taxable income, as defined by the Code, for each year. Pursuant to this election, the Fund generally does not have to pay corporate level taxes on any income that it distributes to shareholders, provided that the Fund satisfies those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financial statements have been prepared on the accrual basis of accounting in accordance with accounting principles generally accepted in the United States (“U.S. GAAP”). The Fund is an investment company for the purposes of accounting and financial reporting in accordance with Financial Accounting Standards Board (“FASB”) Accounting Standards Codification (“ASC”) Topic 946, </w:t>
      </w:r>
      <w:r>
        <w:rPr>
          <w:rFonts w:ascii="Times New Roman" w:cs="Times New Roman" w:eastAsia="Times New Roman" w:hAnsi="Times New Roman"/>
          <w:sz w:val="18"/>
          <w:szCs w:val="18"/>
          <w:i w:val="1"/>
          <w:iCs w:val="1"/>
          <w:color w:val="auto"/>
        </w:rPr>
        <w:t>Financial Services—Investment Companies</w:t>
      </w:r>
      <w:r>
        <w:rPr>
          <w:rFonts w:ascii="Times New Roman" w:cs="Times New Roman" w:eastAsia="Times New Roman" w:hAnsi="Times New Roman"/>
          <w:sz w:val="18"/>
          <w:szCs w:val="18"/>
          <w:color w:val="auto"/>
        </w:rPr>
        <w:t xml:space="preserve"> (“ASC 946”)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U.S. GAAP for an investment company requires investments to be recorded at fair value. The carrying value for all other assets and liabilities approximates their fair value. The Fund’s fiscal year ends on September 30, and unless otherwise noted, references to fiscal year or year are for fiscal years ended September 30.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assumptions and estimates that affect the reported amounts reported in the financial statements and accompanying notes. Management’s estimates are based on historical experiences and other factors, including expectations of future events that management believes to be reasonable under the circumstances. It also requires management to exercise judgment in the process of applying the Fund’s accounting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Investment transactions are recorded as of the applicable trade date. Realized gains or losses are measured by the difference between the net proceeds from the repayment or sale and the amortized cost basis of the investment using the specific identification method without regard to unrealized appreciation or depreciation previously recognized, and includes investments charged off during the period, net of recoveries. Net change in unrealized appreciation or depreciation on investments as presented in the accompanying Statement of Operations reflects the net change in the fair value of investments, including the reversal of previously recorded unrealized appreciation or depreciation when gains or losses are realized. See Note 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further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demand deposits and highly liquid investments (e.g., money market funds, U.S. treasury notes) with original maturities of three months or less. The Fund’s cash and cash equivalents are held at one or more large financial institutions and cash held in such financial institutions may, at times, exceed the Federal Deposit Insurance Corporation insured limit. The Fund classifies cash equivalents as Level I in the fair value hierarchy. Cash equivalents are carried at cost or amortized cost which approximates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from Investments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CLO equity investments recognize investment income by utilizing an effective interest methodology based upon an effective yield to maturity utilizing projected cash flow, as required by ASC Topic 325-40, </w:t>
      </w:r>
      <w:r>
        <w:rPr>
          <w:rFonts w:ascii="Times New Roman" w:cs="Times New Roman" w:eastAsia="Times New Roman" w:hAnsi="Times New Roman"/>
          <w:sz w:val="18"/>
          <w:szCs w:val="18"/>
          <w:i w:val="1"/>
          <w:iCs w:val="1"/>
          <w:color w:val="auto"/>
        </w:rPr>
        <w:t>Beneficial Interest in Securitized Financial Assets</w:t>
      </w:r>
      <w:r>
        <w:rPr>
          <w:rFonts w:ascii="Times New Roman" w:cs="Times New Roman" w:eastAsia="Times New Roman" w:hAnsi="Times New Roman"/>
          <w:sz w:val="18"/>
          <w:szCs w:val="18"/>
          <w:color w:val="auto"/>
        </w:rPr>
        <w:t>. The Fund monitors the expected residual payments, and effective yield is determined and updated periodically, as needed. Accordingly, investment income recognized on CLO equity securities in the U.S. GAAP statement of operations differs from both the tax-basis investment income and from the cash distributions actually received by the Fund during the quarterly period.</w:t>
      </w:r>
    </w:p>
    <w:p>
      <w:pPr>
        <w:spacing w:after="0" w:line="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accretion of discounts and amortization of premiums. Discounts from and premiums to par value on debt investments purchased are accreted/amortized into interest income over the life of the respective security using the effective interest method. The amortized cost of debt investments represents the original cost, including origination fees and upfront fees received that are deemed to be an adjustment to yield, adjusted for the accretion of discounts and amortization of premiums, if 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includes the Fund’s dividends associated with its 8.75% Series A Term Preferred Shares due October 31, 2028 (the “Series A Term Preferred Shares”). Interest expense also includes the Fund’s amortization of deferred issuance costs associated with its Series A Term Preferred Shares.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Prepaid expenses consist primarily of insurance premiums and at-the-market (“ATM”) program expenses. See Note 9.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for further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Insurance premiums are amortized over the term of the current policy. Prepaid ATM program expenses represent fees and expenses incurred in connection with the ATM program. Such costs are allocated pro-rata based on the amount issued relative to the total respective offering amount and are charged to paid-in-capital. Any remaining prepaid expense balance associated with the ATM program is charged to expense at the earlier of the end of the program period or at the effective date of a new ATM program.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Mandatory Redeemable Preferred Shares </w:t>
      </w:r>
      <w:r>
        <w:rPr>
          <w:rFonts w:ascii="Times New Roman" w:cs="Times New Roman" w:eastAsia="Times New Roman" w:hAnsi="Times New Roman"/>
          <w:sz w:val="18"/>
          <w:szCs w:val="18"/>
          <w:color w:val="auto"/>
        </w:rPr>
        <w:t>(See Note 7.</w:t>
      </w:r>
      <w:r>
        <w:rPr>
          <w:rFonts w:ascii="Times New Roman" w:cs="Times New Roman" w:eastAsia="Times New Roman" w:hAnsi="Times New Roman"/>
          <w:sz w:val="18"/>
          <w:szCs w:val="18"/>
          <w:i w:val="1"/>
          <w:iCs w:val="1"/>
          <w:color w:val="auto"/>
        </w:rPr>
        <w:t xml:space="preserve"> Mandatory Redeemable Preferred Shares, </w:t>
      </w:r>
      <w:r>
        <w:rPr>
          <w:rFonts w:ascii="Times New Roman" w:cs="Times New Roman" w:eastAsia="Times New Roman" w:hAnsi="Times New Roman"/>
          <w:sz w:val="18"/>
          <w:szCs w:val="18"/>
          <w:color w:val="auto"/>
        </w:rPr>
        <w:t>for further information)</w:t>
      </w:r>
    </w:p>
    <w:p>
      <w:pPr>
        <w:spacing w:after="0" w:line="11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Fund authorized and issued its Series A Term Preferred Shares during the nine month period ended June 30, 2024. The Fund carries its mandatory redeemable Series A Term Preferred Shares at amortized cost, and such shares are included as a liability on the Statement of Assets and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Issuance Costs</w:t>
      </w:r>
    </w:p>
    <w:p>
      <w:pPr>
        <w:spacing w:after="0" w:line="1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Deferred issuance costs consist of fees and expenses incurred in connection with the closing of the Fund’s Series A Term Preferred Shares, and are capitalized at the time of payment. These costs are amortized over the term of the Series A Term Preferred Shares. The amortized expenses are included in interest expense in the Fund’s financial statements. The unamortized deferred issuance costs are included on the Fund’s Statement of Assets and Liabilities as a direct deduction from the related mandatory redeemable preferred share liability.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federal income tax purposes, the Fund has elected to be treated as a RIC under the Code, and intends to make the required distributions to its shareholders as specified therein. In order to qualify as a RIC, the Fund must meet certain minimum distribution, source-of-income and asset diversification requirements. If such requirements are met, then the Fund is generally required to pay income taxes only on the portion of its taxable income and gains it does not distribute.</w:t>
      </w:r>
    </w:p>
    <w:p>
      <w:pPr>
        <w:spacing w:after="0" w:line="7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minimum distribution requirements applicable to RICs require the Fund to distribute to its shareholders at least 90% of its investment company taxable income (“ICTI”), as defined by the Code, each year (the “Annual Distribution Requirement”). Depending on the level of ICTI earned in a tax year, the Fund may choose to carry forward ICTI in excess of current year distributions into the next tax year. Any such carryover ICTI must be distributed before the end of that next tax year through a dividend declared prior to filing the final tax return related to the year which generated such ICTI.</w:t>
      </w:r>
    </w:p>
    <w:p>
      <w:pPr>
        <w:spacing w:after="0" w:line="7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based on the excise distribution requirements, the Fund is subject to a 4% nondeductible federal excise tax on undistributed income unless the Fund distributes in a timely manner an amount at least equal to the sum of (1) 98% of its ordinary income for each calendar year, (2) 98.2% of capital gain net income (both long-term and short-term) for the one-year period ending October 31 in that calendar year and (3) any income realized, but not distributed, in the preceding year. For this purpose, however, any ordinary income or capital gain net income retained by the Fund that is subject to corporate income tax is considered to have been distributed. The Fund intends to make sufficient distributions each taxable year to satisfy the excise distribution requirements.</w:t>
      </w:r>
    </w:p>
    <w:p>
      <w:pPr>
        <w:spacing w:after="0" w:line="7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Due to timing of dividends and distributions, the fiscal year in which amounts are distributed may differ from the fiscal year in which the income or net realized gain was recorded by the Fund.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composition of distributions paid to common shareholders from net investment income and capital gains are determined in accordance with U.S. federal income tax regulations, which differ from U.S. GAAP. Distributions to common shareholders can be comprised of net investment income, net realized capital gains and return of capital for U.S. federal income tax purposes and are intended to be paid monthly. Distributions payable to common shareholders are recorded as a liability on ex-dividend date.</w:t>
      </w:r>
    </w:p>
    <w:p>
      <w:pPr>
        <w:spacing w:after="0" w:line="7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Fund has an “opt out” Dividend Reinvestment Plan that provides for reinvestment of dividends and other distributions on behalf of the shareholder, other than those shareholders who have “opted out” of the plan. As a result of adopting the plan, if the Board of Trustees authorizes, and the Fund declares, a cash dividend or distribution, the shareholders who have not elected to “opt out” of the Dividend Reinvestment Plan will have their cash dividends or distributions automatically reinvested in additional shares of the Fund’s shares of beneficial interest, rather than receiving cash. Each registered shareholder may elect to have such shareholder’s dividends and distributions distributed in cash rather than participate in the plan. For any registered shareholder that does not so elect, distributions on such shareholder’s shares will be reinvested by the Transfer Agent, the Fund’s plan administrator, in additional shares. The number of shares to be issued to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80"/>
        <w:spacing w:after="0" w:line="375" w:lineRule="auto"/>
        <w:rPr>
          <w:sz w:val="20"/>
          <w:szCs w:val="20"/>
          <w:color w:val="auto"/>
        </w:rPr>
      </w:pPr>
      <w:r>
        <w:rPr>
          <w:rFonts w:ascii="Times New Roman" w:cs="Times New Roman" w:eastAsia="Times New Roman" w:hAnsi="Times New Roman"/>
          <w:sz w:val="18"/>
          <w:szCs w:val="18"/>
          <w:color w:val="auto"/>
        </w:rPr>
        <w:t xml:space="preserve">shareholder will be determined based on the total dollar amount of the cash distribution payable, net of applicable withholding taxes. </w:t>
      </w:r>
      <w:r>
        <w:rPr>
          <w:rFonts w:ascii="Times New Roman" w:cs="Times New Roman" w:eastAsia="Times New Roman" w:hAnsi="Times New Roman"/>
          <w:sz w:val="18"/>
          <w:szCs w:val="18"/>
          <w:i w:val="1"/>
          <w:iCs w:val="1"/>
          <w:color w:val="auto"/>
        </w:rPr>
        <w:t>Functional Currency</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functional currency of the Fund is the U.S. Dollar. Investments are generally made in the local currency of the country in which the investments are domiciled and are translated into U.S. Dollars with foreign currency translation gains or losses recorded within net change in unrealized appreciation (depreciation) on investments in the accompanying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7"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Fund applies fair value accounting in accordance with the terms of 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ASC 820 defines fair value as the amount that would be exchanged to sell an asset or transfer a liability in an orderly transfer between market participants at the measurement date. The Fund values securities/instruments traded in active markets on the measurement date by multiplying the bid price of such traded securities/instruments by the quantity of shares or amount of the instrument held. The Fund may also obtain quotes with respect to certain of its investments, such as its securities/instruments traded in active markets and its liquid securities/instruments that are not traded in active markets, from pricing services, brokers, or counterparties (i.e., “consensus pricing”). When doing so, the Adviser determines whether the quote obtained is sufficient according to U.S. GAAP to determine the fair value of the security. The Fund may use the quote obtained or alternative pricing sources may be utilized including valuation techniques typically utilized for illiquid securities/instruments.</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Board of Trustees has designated the Adviser as the Fund’s valuation designee for purposes of Rule 2a-5 under the Investment Company Act to perform the fair value determination of all of the Fund’s assets in accordance with the terms of ASC 820. Securities/instruments that are illiquid or for which the pricing source does not provide a valuation or methodology or provides a valuation or methodology that, in the judgment of the Adviser, does not represent fair value shall each be valued as of the measurement date using all techniques appropriate under the circumstances and for which sufficient data is available. These valuation techniques may vary by investment and include comparable public market valuations, comparable precedent transaction valuations and/or discounted cash flow analyses. The Adviser engages third-party valuation firms to provide independent prices on securities/instruments. The Adviser’s Valuation Committee (the “Valuation Committee”) reviews the assessments of the third-party valuation firms and provides any recommendations with respect to changes to the fair value of each investment in the portfolio and approves the fair value of each investment in the portfolio in good faith based on the input of the third-party valuation firms. If the Adviser reasonably believes a valuation from a pricing vendor is inaccurate or unreliable, the Valuation Committee will consider an “override” of the particular valuation. The Valuation Committee will consider all available information at its disposal prior to making a valuation determination.</w:t>
      </w:r>
    </w:p>
    <w:p>
      <w:pPr>
        <w:spacing w:after="0" w:line="1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U.S. GAAP establishes a hierarchical disclosure framework which ranks the level of observability of market price inputs used in measuring investments at fair value. The observability of inputs is impacted by a number of factors, including the type of investment and the characteristics specific to the investment and state of the marketplace, including the existence and transparency of transactions between market participants. Investments with readily available quoted prices or for which fair value can be measured from quoted prices in active markets generally have a higher degree of market price observability and a lesser degree of judgment applied in determining fair value.</w:t>
      </w:r>
    </w:p>
    <w:p>
      <w:pPr>
        <w:spacing w:after="0" w:line="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Investments measured and reported at fair value are classified and disclosed based on the observability of inputs used in determination of fair values, as follows:</w:t>
      </w:r>
    </w:p>
    <w:p>
      <w:pPr>
        <w:spacing w:after="0" w:line="54" w:lineRule="exact"/>
        <w:rPr>
          <w:sz w:val="20"/>
          <w:szCs w:val="20"/>
          <w:color w:val="auto"/>
        </w:rPr>
      </w:pPr>
    </w:p>
    <w:p>
      <w:pPr>
        <w:ind w:left="660" w:right="80" w:hanging="328"/>
        <w:spacing w:after="0" w:line="261"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8"/>
          <w:szCs w:val="18"/>
          <w:color w:val="auto"/>
        </w:rPr>
        <w:t>Level 1—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w:t>
      </w:r>
    </w:p>
    <w:p>
      <w:pPr>
        <w:spacing w:after="0" w:line="71" w:lineRule="exact"/>
        <w:rPr>
          <w:rFonts w:ascii="Arial" w:cs="Arial" w:eastAsia="Arial" w:hAnsi="Arial"/>
          <w:sz w:val="16"/>
          <w:szCs w:val="16"/>
          <w:color w:val="auto"/>
        </w:rPr>
      </w:pPr>
    </w:p>
    <w:p>
      <w:pPr>
        <w:ind w:left="660" w:right="180" w:hanging="328"/>
        <w:spacing w:after="0" w:line="261"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8"/>
          <w:szCs w:val="18"/>
          <w:color w:val="auto"/>
        </w:rPr>
        <w:t>Level 2—inputs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w:t>
      </w:r>
    </w:p>
    <w:p>
      <w:pPr>
        <w:spacing w:after="0" w:line="71" w:lineRule="exact"/>
        <w:rPr>
          <w:rFonts w:ascii="Arial" w:cs="Arial" w:eastAsia="Arial" w:hAnsi="Arial"/>
          <w:sz w:val="16"/>
          <w:szCs w:val="16"/>
          <w:color w:val="auto"/>
        </w:rPr>
      </w:pPr>
    </w:p>
    <w:p>
      <w:pPr>
        <w:ind w:left="660" w:right="980" w:hanging="328"/>
        <w:spacing w:after="0" w:line="282" w:lineRule="auto"/>
        <w:tabs>
          <w:tab w:leader="none" w:pos="649" w:val="left"/>
        </w:tabs>
        <w:numPr>
          <w:ilvl w:val="0"/>
          <w:numId w:val="5"/>
        </w:numPr>
        <w:rPr>
          <w:rFonts w:ascii="Arial" w:cs="Arial" w:eastAsia="Arial" w:hAnsi="Arial"/>
          <w:sz w:val="16"/>
          <w:szCs w:val="16"/>
          <w:color w:val="auto"/>
        </w:rPr>
      </w:pPr>
      <w:r>
        <w:rPr>
          <w:rFonts w:ascii="Times New Roman" w:cs="Times New Roman" w:eastAsia="Times New Roman" w:hAnsi="Times New Roman"/>
          <w:sz w:val="18"/>
          <w:szCs w:val="18"/>
          <w:color w:val="auto"/>
        </w:rPr>
        <w:t>Level 3—inputs to the valuation methodology are unobservable and significant to overall fair value measurement. The inputs into the determination of fair value require significant management judgment or estimation. Financial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w:t>
      </w:r>
    </w:p>
    <w:p>
      <w:pPr>
        <w:spacing w:after="0" w:line="54"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w:t>
      </w:r>
    </w:p>
    <w:p>
      <w:pPr>
        <w:spacing w:after="0" w:line="5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period in which the transfers occur. During the nine month period ended June 30, 2024, there were no transfers.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Fund’s investments measured at fair value on a recurring basis by the above fair value hierarchy levels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8,013,669</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8,013,669</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135,825,907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135,825,907</w:t>
            </w: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2,175,000</w:t>
            </w:r>
          </w:p>
        </w:tc>
      </w:tr>
      <w:tr>
        <w:trPr>
          <w:trHeight w:val="221"/>
        </w:trPr>
        <w:tc>
          <w:tcPr>
            <w:tcW w:w="3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 at Fair Value</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8,013,669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138,000,907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146,014,576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changes in the Fund’s investments at fair value for which the Fund has classified as Level 3 for the nine month period ended June 30, 2024, are as follows:</w:t>
      </w:r>
    </w:p>
    <w:p>
      <w:pPr>
        <w:spacing w:after="0" w:line="8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For the Nine Months Ended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Collateralized Loan</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Obligations</w:t>
            </w:r>
          </w:p>
        </w:tc>
        <w:tc>
          <w:tcPr>
            <w:tcW w:w="24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34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91,876,730</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93,876,730</w:t>
            </w:r>
          </w:p>
        </w:tc>
        <w:tc>
          <w:tcPr>
            <w:tcW w:w="0" w:type="dxa"/>
            <w:vAlign w:val="bottom"/>
          </w:tcPr>
          <w:p>
            <w:pPr>
              <w:spacing w:after="0"/>
              <w:rPr>
                <w:sz w:val="1"/>
                <w:szCs w:val="1"/>
                <w:color w:val="auto"/>
              </w:rPr>
            </w:pPr>
          </w:p>
        </w:tc>
      </w:tr>
      <w:tr>
        <w:trPr>
          <w:trHeight w:val="195"/>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72,647,723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72,647,723</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Proceeds from sales and paydowns of investments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(19,810,905)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(19,810,905)</w:t>
            </w:r>
          </w:p>
        </w:tc>
        <w:tc>
          <w:tcPr>
            <w:tcW w:w="0" w:type="dxa"/>
            <w:vAlign w:val="bottom"/>
          </w:tcPr>
          <w:p>
            <w:pPr>
              <w:spacing w:after="0"/>
              <w:rPr>
                <w:sz w:val="1"/>
                <w:szCs w:val="1"/>
                <w:color w:val="auto"/>
              </w:rPr>
            </w:pPr>
          </w:p>
        </w:tc>
      </w:tr>
      <w:tr>
        <w:trPr>
          <w:trHeight w:val="195"/>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realized gains (losses)</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(603,040)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(603,040)</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of discount (premium)</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(8,288,619)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(8,113,619)</w:t>
            </w: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135,825,907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138,000,907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color w:val="auto"/>
              </w:rPr>
              <w:t>Net change in unrealized appreciation (depreciation) included in earnings related to investments still held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40" w:type="dxa"/>
            <w:vAlign w:val="bottom"/>
            <w:gridSpan w:val="2"/>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(8,229,108)</w:t>
            </w:r>
          </w:p>
        </w:tc>
        <w:tc>
          <w:tcPr>
            <w:tcW w:w="180" w:type="dxa"/>
            <w:vAlign w:val="bottom"/>
          </w:tcPr>
          <w:p>
            <w:pPr>
              <w:spacing w:after="0"/>
              <w:rPr>
                <w:sz w:val="7"/>
                <w:szCs w:val="7"/>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60" w:type="dxa"/>
            <w:vAlign w:val="bottom"/>
          </w:tcPr>
          <w:p>
            <w:pPr>
              <w:spacing w:after="0"/>
              <w:rPr>
                <w:sz w:val="7"/>
                <w:szCs w:val="7"/>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(8,054,108)</w:t>
            </w:r>
          </w:p>
        </w:tc>
        <w:tc>
          <w:tcPr>
            <w:tcW w:w="0" w:type="dxa"/>
            <w:vAlign w:val="bottom"/>
          </w:tcPr>
          <w:p>
            <w:pPr>
              <w:spacing w:after="0"/>
              <w:rPr>
                <w:sz w:val="1"/>
                <w:szCs w:val="1"/>
                <w:color w:val="auto"/>
              </w:rPr>
            </w:pPr>
          </w:p>
        </w:tc>
      </w:tr>
      <w:tr>
        <w:trPr>
          <w:trHeight w:val="18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at the reporting date</w:t>
            </w:r>
          </w:p>
        </w:tc>
        <w:tc>
          <w:tcPr>
            <w:tcW w:w="1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$9,364,314 of return of capital on CLO investments from recurring cash flows and refinancings.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 generally uses the following framework when determining the fair value of investments that are categorized as Level 3:</w:t>
      </w:r>
    </w:p>
    <w:p>
      <w:pPr>
        <w:spacing w:after="0" w:line="11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CLOs is estimated based on various valuation models from third-party pricing services. Those analyses consider the current trading activity, position size, liquidity, current financial condition of the CLOs, the third-party financing environment, reinvestment rates, recovery lags, discount rates, and default forecasts. The Fund corroborates quotations from pricing services either with other available pricing data and subsequent or recent trading information. These securities are classified as Level 3.</w:t>
      </w:r>
    </w:p>
    <w:p>
      <w:pPr>
        <w:spacing w:after="0" w:line="7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quantitative information related to the significant unobservable inputs for Level 3 instruments which are carried at fair value as of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 as of June</w:t>
            </w:r>
          </w:p>
        </w:tc>
        <w:tc>
          <w:tcPr>
            <w:tcW w:w="120" w:type="dxa"/>
            <w:vAlign w:val="bottom"/>
          </w:tcPr>
          <w:p>
            <w:pPr>
              <w:spacing w:after="0"/>
              <w:rPr>
                <w:sz w:val="16"/>
                <w:szCs w:val="16"/>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Techniques</w:t>
            </w: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Collateralized Loan Obligations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135,825,907</w:t>
            </w: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Consensus Pricing</w:t>
            </w: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Indicative Quotes</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2,175,000</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Market Approach</w:t>
            </w:r>
          </w:p>
        </w:tc>
        <w:tc>
          <w:tcPr>
            <w:tcW w:w="1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Bid Price</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0" w:type="dxa"/>
            <w:vAlign w:val="bottom"/>
          </w:tcPr>
          <w:p>
            <w:pPr>
              <w:spacing w:after="0"/>
              <w:rPr>
                <w:sz w:val="1"/>
                <w:szCs w:val="1"/>
                <w:color w:val="auto"/>
              </w:rPr>
            </w:pPr>
          </w:p>
        </w:tc>
      </w:tr>
      <w:tr>
        <w:trPr>
          <w:trHeight w:val="22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138,000,907</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Fund’s investments in CLOs are indicative quotes. Significant decreases in indicative quotes may result in a significantly lower fair value measurement. The Fund’s Real Estate investment is being valued based on an indicative bid received.</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140"/>
          </w:cols>
          <w:pgMar w:left="320" w:top="117"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November 28, 2022, the Fund’s Board of Trustees, including a majority of the Trustees who are not “interested persons” as that term is defined in the 1940 Act, as amended, approved the Investment Advisory Agreement, subject to Shareholder approval. The Board weighed a number of factors in reaching its decision to approve the Investment Advisory Agreement, including, without limitation, the history, reputation, and resources of CGCIM, prior performance results achieved by CGCIM, and quality of services to be provided by CGCIM. The Board considered CGCIM’s expertise in managing collateralized loan obligation securities.</w:t>
      </w:r>
    </w:p>
    <w:p>
      <w:pPr>
        <w:spacing w:after="0" w:line="7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Shareholders approved the Investment Advisory Agreement on June 15, 2023 and it became effective on July 14, 2023, at which time the original Investment Advisory Agreement between the Fund and Oakline Advisors, LLC terminated. Pursuant to the Investment Advisory Agreement, by and between the Fund and the Adviser, and in consideration of the advisory services provided by the Adviser to the Fund, the Adviser is entitled to a fee consisting of two components—a base management fee (the “Management Fee”) and an incentive fee (the “Incentive Fee”).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spacing w:after="0" w:line="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Fund pays its Adviser an incentive fee with respect to its pre-incentive fee net investment income in each calendar quarter as follows:</w:t>
      </w:r>
    </w:p>
    <w:p>
      <w:pPr>
        <w:spacing w:after="0" w:line="117" w:lineRule="exact"/>
        <w:rPr>
          <w:sz w:val="20"/>
          <w:szCs w:val="20"/>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based on pre-incentive fee net investment income in any calendar quarter in which its pre-incentive fee net investment income does not exceed the hurdle rate of 2.00%;</w:t>
      </w:r>
    </w:p>
    <w:p>
      <w:pPr>
        <w:spacing w:after="0" w:line="53"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portion of the Fund’s pre-incentive fee net investment income that exceeds the hurdle rate but is less than or equal to 2.4242% (the “catch-up”) is payable to the Adviser if the Fund’s pre-incentive fee net investment income, expressed as a percentage of the Fund’s net assets in respect of the relevant calendar quarter, exceeds the hurdle rate but is less than or equal to 2.4242% (9.6968% annualized). The “catch-up” provision is intended to provide the Adviser with an incentive fee of 17.5% on all of the Fund’s pre-incentive fee net investment income when the Fund’s pre-incentive fee net investment income reaches 2.4242% of net assets; and</w:t>
      </w:r>
    </w:p>
    <w:p>
      <w:pPr>
        <w:spacing w:after="0" w:line="75"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the portion of the Fund’s pre-incentive fee net investment income that exceeds the “catch-up” will be payable to the Adviser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the Adviser.</w:t>
      </w:r>
    </w:p>
    <w:p>
      <w:pPr>
        <w:spacing w:after="0" w:line="7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 period ended June 30, 2024, the management fee was $1,925,649 and incentive fee related to pre-incentive fee net investment income was $2,290,343.</w:t>
      </w:r>
    </w:p>
    <w:p>
      <w:pPr>
        <w:spacing w:after="0" w:line="54"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$447,818 and $847,843 was included in management fee payable and incentive fee payable, respectively, in the accompanying Statement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Limitation Agreement</w:t>
      </w:r>
    </w:p>
    <w:p>
      <w:pPr>
        <w:spacing w:after="0" w:line="11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Adviser and the Fund entered into an Expense Limitation Agreement under which the Adviser had agreed contractually to waive its Management Fee and/or reimburse the Fund’s operating expenses on a monthly basis to the extent that the Fund’s monthly total annualized fund operating expenses (excluding (i) expenses directly related to the costs of making investments, including interest and structuring costs for borrowings and line(s) of credit, taxes, brokerage costs, the Fund’s proportionate share of expenses related to co-investments, litigation and extraordinary expenses, (ii) Incentive Fees, expenses related to equity or debt offerings, and (iii) expenses associated with the Transaction Agreement, including expenses related to the liquidation as defined therein) in respect of the relevant month not to exceed 2.50% of the Fund’s average daily net assets. The Expense Limitation Agreement terminated based on its terms on August 17, 2023, which was the date that 75% of the Fund’s gross assets were invested in collateralized loan obligation equity and debt investments.</w:t>
      </w:r>
    </w:p>
    <w:p>
      <w:pPr>
        <w:spacing w:after="0" w:line="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CGCIM also has a Fee Waiver Agreement under which it has agreed to irrevocably waive the portion of its management and incentive fees on Fund managed assets invested in exchange traded funds through January 12, 2024 (the “Termination Date”), as the Fund’s portfolio transitions to the new investment strategy. CGCIM is not entitled to recoup any waived fees under the Fee Waiver Agreement. For the period from July 14, 2023, the date CGCIM replaced Oakline as the Fund’s new investment adviser, through the Termination Date, the Fund did not have any investments in exchange traded funds, and thus no management or incentive fees were waived under the Fee Waiver Agreement.</w:t>
      </w:r>
    </w:p>
    <w:p>
      <w:pPr>
        <w:spacing w:after="0" w:line="75"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w:t>
      </w:r>
      <w:r>
        <w:rPr>
          <w:rFonts w:ascii="Arial" w:cs="Arial" w:eastAsia="Arial" w:hAnsi="Arial"/>
          <w:sz w:val="16"/>
          <w:szCs w:val="16"/>
          <w:color w:val="auto"/>
        </w:rPr>
        <w:t>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Trustees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Fund’s Board of Trustees currently consists of five members, three of whom are Independent Trustees. The Board of Trustees has established an Audit Committee, a Nominating and Governance Committee and an Independent Trustees Committee, the members of each of which consist entirely of the Fund’s Independent Trustees. The Board of Trustees may establish additional committees in the future. During the nine month period ended June 30, 2024, the Fund incurred $93,579 in fees and expenses associated with its Independent Trustees' services on the Fund's Board of Trustees and its committees. As of June 30, 2024, no fees or expenses associated with the Fund’s Independent Trustees were payable.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Concentration</w:t>
      </w:r>
    </w:p>
    <w:p>
      <w:pPr>
        <w:spacing w:after="0" w:line="11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Related parties owned approximately 37% of the Fund's total outstanding shares as of June 30, 2024. Related parties may include, but are not limited to, the Adviser and its affiliates, affiliated broker dealers, fund of funds, and directors or employees.</w:t>
      </w:r>
    </w:p>
    <w:p>
      <w:pPr>
        <w:spacing w:after="0" w:line="50" w:lineRule="exact"/>
        <w:rPr>
          <w:sz w:val="20"/>
          <w:szCs w:val="20"/>
          <w:color w:val="auto"/>
        </w:rPr>
      </w:pPr>
    </w:p>
    <w:p>
      <w:pPr>
        <w:ind w:right="9700" w:firstLine="8"/>
        <w:spacing w:after="0" w:line="399"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 Investment Risks</w:t>
      </w:r>
    </w:p>
    <w:p>
      <w:pPr>
        <w:spacing w:after="0"/>
        <w:rPr>
          <w:sz w:val="20"/>
          <w:szCs w:val="20"/>
          <w:color w:val="auto"/>
        </w:rPr>
      </w:pPr>
      <w:r>
        <w:rPr>
          <w:rFonts w:ascii="Times New Roman" w:cs="Times New Roman" w:eastAsia="Times New Roman" w:hAnsi="Times New Roman"/>
          <w:sz w:val="18"/>
          <w:szCs w:val="18"/>
          <w:i w:val="1"/>
          <w:iCs w:val="1"/>
          <w:color w:val="auto"/>
        </w:rPr>
        <w:t>Portfolio Fair Value Risk</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Investment Company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w:t>
      </w:r>
    </w:p>
    <w:p>
      <w:pPr>
        <w:spacing w:after="0" w:line="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 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Conflicts of Interest Risk—Allocation of Investment Opportunities</w:t>
      </w:r>
    </w:p>
    <w:p>
      <w:pPr>
        <w:spacing w:after="0" w:line="11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Adviser has adopted allocation procedures that are intended to treat each fund they advise in a manner that, over a period of time, is fair and equitable. The Adviser and its affiliates currently provide investment advisory and administration services and may provide in the future similar services to other entities (collectively, “Advised Funds”).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w:t>
      </w:r>
    </w:p>
    <w:p>
      <w:pPr>
        <w:spacing w:after="0" w:line="5" w:lineRule="exact"/>
        <w:rPr>
          <w:sz w:val="20"/>
          <w:szCs w:val="20"/>
          <w:color w:val="auto"/>
        </w:rPr>
      </w:pPr>
    </w:p>
    <w:p>
      <w:pPr>
        <w:ind w:right="120" w:firstLine="8"/>
        <w:spacing w:after="0" w:line="25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 of such security; (vi) the nature of the security or the transaction, including minimum investment amounts and the source of the opportunity; (vii) current and anticipated market and general economic conditions; (viii) existing positions in a borrower/loan/security; and (ix) prior positions in a borrower/loan/security. Nevertheless, it is possible that the Fund may not be given the opportunity to participate in certain investments made by investment funds managed by investment managers affiliated with the Adviser.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Collateralized Loan Obligations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Fund invests in CLOs.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Covenant-Lite Loans Risk</w:t>
      </w:r>
    </w:p>
    <w:p>
      <w:pPr>
        <w:spacing w:after="0" w:line="119" w:lineRule="exact"/>
        <w:rPr>
          <w:sz w:val="20"/>
          <w:szCs w:val="20"/>
          <w:color w:val="auto"/>
        </w:rPr>
      </w:pPr>
    </w:p>
    <w:p>
      <w:pPr>
        <w:ind w:right="80" w:firstLine="180"/>
        <w:spacing w:after="0" w:line="255" w:lineRule="auto"/>
        <w:rPr>
          <w:sz w:val="20"/>
          <w:szCs w:val="20"/>
          <w:color w:val="auto"/>
        </w:rPr>
      </w:pPr>
      <w:r>
        <w:rPr>
          <w:rFonts w:ascii="Times New Roman" w:cs="Times New Roman" w:eastAsia="Times New Roman" w:hAnsi="Times New Roman"/>
          <w:sz w:val="18"/>
          <w:szCs w:val="18"/>
          <w:color w:val="auto"/>
        </w:rPr>
        <w:t>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Securities</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Yield Investment Risk</w:t>
      </w:r>
    </w:p>
    <w:p>
      <w:pPr>
        <w:spacing w:after="0" w:line="11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CLO equity and junior debt securities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Default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 will be subject to risks associated with defaults on an underlying asset held by a CLO.</w:t>
      </w:r>
    </w:p>
    <w:p>
      <w:pPr>
        <w:spacing w:after="0" w:line="117" w:lineRule="exact"/>
        <w:rPr>
          <w:sz w:val="20"/>
          <w:szCs w:val="20"/>
          <w:color w:val="auto"/>
        </w:rPr>
      </w:pPr>
    </w:p>
    <w:p>
      <w:pPr>
        <w:ind w:left="1300" w:right="40" w:hanging="320"/>
        <w:spacing w:after="0" w:line="253"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w:t>
      </w:r>
    </w:p>
    <w:p>
      <w:pPr>
        <w:spacing w:after="0" w:line="79"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of the principal of such asset. Any such reduction in interest rates or principal will negatively affect the fair value of the Fund’s portfolio.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Non-Diversification Risk</w:t>
      </w:r>
    </w:p>
    <w:p>
      <w:pPr>
        <w:spacing w:after="0" w:line="1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Fund is a non-diversified investment company under the 1940 Act and expects to hold a narrower range of investments than a diversified fund under the 1940 Act.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Risk</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use of leverage, whether directly or indirectly through investments such as CLO equity or junior debt securities that inherently involve leverage, may magnify the Fund’s risk of loss. CLO equity or junior debt securities are very highly leveraged (with CLO equity securities typically being leveraged ten times), and therefore the CLO securities in which the Fund invests are subject to a higher degree of loss since the use of leverage magnifies losses.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Management Personnel of the Adviser</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Conflicts of Interest Risk</w:t>
      </w:r>
    </w:p>
    <w:p>
      <w:pPr>
        <w:spacing w:after="0" w:line="1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Generally, there is no public market for the CLO investments the Fund targets. As such, the Fund may not be able to sell such investments quickly, or at all. If the Fund is able to sell such investments, the prices the Fund receives may not reflect the Adviser’s assessment of their fair value or the amount paid for such investments by the Fund.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Adviser’s Incentive Fee Risk</w:t>
      </w:r>
    </w:p>
    <w:p>
      <w:pPr>
        <w:spacing w:after="0" w:line="11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an escalation in conflict between Russia and Ukraine, could lead to disruption, instability and volatility in the global markets. Unfavorable economic conditions also would be expected to increase our funding costs, limit our access to the capital markets or result in a decision by lenders not to extend credit to us.</w:t>
      </w:r>
    </w:p>
    <w:p>
      <w:pPr>
        <w:spacing w:after="0" w:line="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Current and historic market turmoil has illustrated that market environments may, at any time, be characterized by uncertainty, volatility and instability. For example, the outbreak of COVID-19 caused materially reduced consumer demand and economic output, disrupting supply chains, resulting in market closures, travel restrictions and quarantines, and adversely impacting local and global economies. As with other serious economic disruptions, governmental authorities and regulators are responding to this crisis with significant fiscal and monetary policy changes, including by providing direct capital infusions into companies, introducing new monetary programs and considerably lowering interest rates, which, in some cases resulted in negative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senior secured loans underlying the CLOs in which the Fund invests typically have floating interest rates. A rising interest rate environment may increase loan defaults, resulting in losses for the CLOs in which the Fund invests. In addition, increasing interest rates may lead to higher prepayment rates, as corporate borrowers look to avoid escalating interest payments or refinance floating rate loans.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the Fund holds.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from LIBOR Risk</w:t>
      </w:r>
    </w:p>
    <w:p>
      <w:pPr>
        <w:spacing w:after="0" w:line="11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The London Interbank Offered Rate (“LIBOR”) is no longer published as of June 30, 2023, certain CLO securities in which we invest may continue to earn interest at (or, from the perspective of the Fund as CLO equity investor, obtain financing at) a floating rate based on LIBOR. LIBOR and other inter-bank lending rates and indices (together with LIBOR, the “IBORs”) are the subject of ongoing national and international regulatory reform. Most, but not all, LIBOR settings are now transitioned to alternative near risk-free rates (“RFRs”).</w:t>
      </w:r>
    </w:p>
    <w:p>
      <w:pPr>
        <w:spacing w:after="0" w:line="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It is expected that many new financing arrangements entered into by the Fund will therefore likely reference an RFR as the applicable interest rate. The RFRs are conceptually and operationally different from LIBOR. For example, overnight rate RFRs may only be determinable on a ‘backward’ looking basis and therefore are only known at the end of an interest period, whereas LIBOR is a ‘forward’ looking rate. Moreover, certain RFRs (such as Secured Overnight Financing Rate or “SOFR” for U.S. dollar debt) are not well established in the market, and all RFRs remain novel in comparison to LIBOR. There consequently remains some uncertainty as to what the economic, accounting, commercial, tax and legal implications of the use of RFRs will be and how they will perform over significant time periods, particularly as market participants are still becoming accustomed to the use of such benchmarks. As a result, it is possible that the use of RFRs may have an adverse effect on the Fund.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Government regulation and/or intervention may change the way the Fund is regulated, affect the expenses incurred directly by the Fund, affect the value of its investments and limit the Fund’s ability to achieve its investment objective. Government regulation may change frequently and may have significant adverse consequences. Moreover, government regulation may have unpredictable and unintended effects. In addition to exposing the Fund to potential new costs and expenses, additional regulation or changes to existing regulation may also require changes to the Fund’s investment practices.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Credit risk relates to the ability of the borrower under an instrument to make interest and principal payments as they become due. If (1) a CLO in which the Fund invests, (2) an underlying asset of any such CLO or (3) any other type of credit investment in the Fund’s portfolio declines in price or fails to pay interest or principal when due because the issuer or debtor, as the case may be, experiences a decline in its financial status, our income, NAV and/or market price would be adversely impacted.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Spread Risk</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Credit spread risk is the risk that credit spreads (i.e., the difference in yield between securities that is due to differences in their credit quality) may increase when the market expects below-investment-grade bonds to default more frequently. Widening credit spreads may quickly reduce the market values of below-investment-grade and unrated securities. In recent years, the U.S. capital markets experienced extreme volatility and disruption following the spread of COVID-19, which increased the spread between yields realized on risk-free and higher risk securities, resulting in illiquidity in parts of the capital markets. Central banks and governments played a key role in reintroducing liquidity to parts of the capital markets. Future exits of these financial institutions from the market may reintroduce temporary illiquidity. These and future market disruptions and/or illiquidity would be expected to have an adverse effect on the Fund’s business, financial condition, results of operations and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Risk</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assets underlying the CLO securities are subject to prepayment by the underlying corporate borrowers. In addition, the CLO securities and related investments are subject to prepayment risk. If the Fund or a CLO collateral manager is unable to reinvest prepaid amounts in a new investment with an expected rate of return at least equal to that of the investment repaid, the Fund’s investment performance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Risk</w:t>
      </w:r>
    </w:p>
    <w:p>
      <w:pPr>
        <w:spacing w:after="0" w:line="1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risk relates to the change in value of equity securities as they relate to increases or decreases in the general market.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Foreign exchange rate risk relates to the change in the U.S. dollar value of a security held that is denominated in a foreign currency. The U.S. dollar value of a foreign currency denominated security will decrease as the dollar appreciates against the currency, while the U.S. dollar value will increase as the dollar depreciates against the currency.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119" w:lineRule="exact"/>
        <w:rPr>
          <w:sz w:val="20"/>
          <w:szCs w:val="20"/>
          <w:color w:val="auto"/>
        </w:rPr>
      </w:pPr>
    </w:p>
    <w:p>
      <w:pPr>
        <w:ind w:right="40" w:firstLine="729"/>
        <w:spacing w:after="0" w:line="255"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Investment Company Act, the Fund is currently only allowed to borrow amounts such that its asset coverage, as defined in the Investment Company Act, is 300% or more for leverage obtained through debt or 200% or more for leverage obtained through preferred shares. As of June 30, 2024, asset coverage on the Fund’s Series A Term Preferred Shares was 293%.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MANDATORY REDEEMABLE PREFERRED SHARES</w:t>
      </w:r>
    </w:p>
    <w:p>
      <w:pPr>
        <w:spacing w:after="0" w:line="121" w:lineRule="exact"/>
        <w:rPr>
          <w:sz w:val="20"/>
          <w:szCs w:val="20"/>
          <w:color w:val="auto"/>
        </w:rPr>
      </w:pPr>
    </w:p>
    <w:p>
      <w:pPr>
        <w:ind w:right="160" w:firstLine="729"/>
        <w:spacing w:after="0" w:line="258" w:lineRule="auto"/>
        <w:rPr>
          <w:sz w:val="20"/>
          <w:szCs w:val="20"/>
          <w:color w:val="auto"/>
        </w:rPr>
      </w:pPr>
      <w:r>
        <w:rPr>
          <w:rFonts w:ascii="Times New Roman" w:cs="Times New Roman" w:eastAsia="Times New Roman" w:hAnsi="Times New Roman"/>
          <w:sz w:val="18"/>
          <w:szCs w:val="18"/>
          <w:color w:val="auto"/>
        </w:rPr>
        <w:t>On October 24, 2023, the Fund issued 1,200,000 shares of 8.75% Series A Term Preferred Shares due October 31, 2028, for aggregate gross proceeds of $30,000,000. On November 6, 2023, pursuant to the overallotment option granted to the Underwriters in the Underwriting Agreement, dated October 18, 2023, the Fund issued 80,000 additional shares for gross proceeds of $2,000,000. On November 30, 2023, the Fund issued an additional 800,000 shares for gross proceeds of $20,000,000. The shares are listed on the New York Stock Exchange under the symbol “CCIA”. The following table summarizes the details of the Fund’s Series A Term Preferred Shares: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Initial Issuance Date</w:t>
            </w: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Redemption Date</w:t>
            </w:r>
          </w:p>
        </w:tc>
        <w:tc>
          <w:tcPr>
            <w:tcW w:w="1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Dividend Rate</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 Amount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 Raise</w:t>
            </w:r>
          </w:p>
        </w:tc>
        <w:tc>
          <w:tcPr>
            <w:tcW w:w="0" w:type="dxa"/>
            <w:vAlign w:val="bottom"/>
          </w:tcPr>
          <w:p>
            <w:pPr>
              <w:spacing w:after="0"/>
              <w:rPr>
                <w:sz w:val="1"/>
                <w:szCs w:val="1"/>
                <w:color w:val="auto"/>
              </w:rPr>
            </w:pPr>
          </w:p>
        </w:tc>
      </w:tr>
      <w:tr>
        <w:trPr>
          <w:trHeight w:val="145"/>
        </w:trPr>
        <w:tc>
          <w:tcPr>
            <w:tcW w:w="18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Series A Term Preferred</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10/24/2023</w:t>
            </w:r>
          </w:p>
        </w:tc>
        <w:tc>
          <w:tcPr>
            <w:tcW w:w="15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10/31/2028</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8.75 %</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2,080,000</w:t>
            </w:r>
          </w:p>
        </w:tc>
        <w:tc>
          <w:tcPr>
            <w:tcW w:w="48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52,000,000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15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729"/>
        <w:spacing w:after="0" w:line="254" w:lineRule="auto"/>
        <w:rPr>
          <w:sz w:val="20"/>
          <w:szCs w:val="20"/>
          <w:color w:val="auto"/>
        </w:rPr>
      </w:pPr>
      <w:r>
        <w:rPr>
          <w:rFonts w:ascii="Times New Roman" w:cs="Times New Roman" w:eastAsia="Times New Roman" w:hAnsi="Times New Roman"/>
          <w:sz w:val="18"/>
          <w:szCs w:val="18"/>
          <w:color w:val="auto"/>
        </w:rPr>
        <w:t>Each holder of Series A Term Preferred Shares is entitled to a liquidation preference of $25.00 per share (the “Liquidation Preference”), plus an amount equal to accumulated but unpaid dividends, if any, on such shares (whether or not earned or declared, but excluding interest on such dividends) to, but excluding, the date fixed for such redemption. The Fund is required to redeem all outstanding shares of the Series A Term Preferred Shares on October 31, 2028 (the “Mandatory Redemption Date”), at a redemption price equal to the Liquidation Preference plus an amount equal to accumulated but unpaid dividends, if any, to the date of redemption. The Fund cannot effect any modification of or repeal of the Fund’s obligation to redeem the Series A Term Preferred Shares on the Mandatory Redemption Date without the prior, unanimous approval of the holders of the Series A Term Preferred Shares. At any time on or after October 31, 2025, (the “Optional Redemption Date”), the Fund may, at its sole option, redeem the outstanding Series A Term Preferred Shares in whole or, from time to time, in part, at the Liquidation Preference plus an amount equal to accumulated but unpaid dividends, if any, on such shares.</w:t>
      </w:r>
    </w:p>
    <w:p>
      <w:pPr>
        <w:spacing w:after="0" w:line="80" w:lineRule="exact"/>
        <w:rPr>
          <w:sz w:val="20"/>
          <w:szCs w:val="20"/>
          <w:color w:val="auto"/>
        </w:rPr>
      </w:pPr>
    </w:p>
    <w:p>
      <w:pPr>
        <w:ind w:right="180" w:firstLine="729"/>
        <w:spacing w:after="0" w:line="266" w:lineRule="auto"/>
        <w:rPr>
          <w:sz w:val="20"/>
          <w:szCs w:val="20"/>
          <w:color w:val="auto"/>
        </w:rPr>
      </w:pPr>
      <w:r>
        <w:rPr>
          <w:rFonts w:ascii="Times New Roman" w:cs="Times New Roman" w:eastAsia="Times New Roman" w:hAnsi="Times New Roman"/>
          <w:sz w:val="18"/>
          <w:szCs w:val="18"/>
          <w:color w:val="auto"/>
        </w:rPr>
        <w:t>The holders of Series A Term Preferred Shares are entitled to receive monthly dividends at a fixed annual rate of 8.75% of the Liquidation Preference ($2.1875 per share per year), or the “Dividend Rate.” Cumulative cash dividends on each share of Series A Term Preferred Shares accumulate from and include the original issue date. Dividends on the Series A Term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Preferred Shares are accrued daily, payable monthly in arrears, and are included in Interest expense on the Statement of Operations. For the nine month period ended June 30, 2024, $2,934,288 of dividend expense was included in interest expense on the Statement of Operations. Costs incurred in connection with the issuance of the Series A Term Preferred Shares are being amortized to interest expense over the term of the Series A Term Preferred Shares. For the nine month period ended June 30, 2024, the Fund recorded $278,826 of amortization of deferred issuance costs related to the Series A Term Preferred Shares.</w:t>
      </w:r>
    </w:p>
    <w:p>
      <w:pPr>
        <w:spacing w:after="0" w:line="75" w:lineRule="exact"/>
        <w:rPr>
          <w:sz w:val="20"/>
          <w:szCs w:val="20"/>
          <w:color w:val="auto"/>
        </w:rPr>
      </w:pPr>
    </w:p>
    <w:p>
      <w:pPr>
        <w:ind w:right="20" w:firstLine="729"/>
        <w:spacing w:after="0" w:line="266" w:lineRule="auto"/>
        <w:rPr>
          <w:sz w:val="20"/>
          <w:szCs w:val="20"/>
          <w:color w:val="auto"/>
        </w:rPr>
      </w:pPr>
      <w:r>
        <w:rPr>
          <w:rFonts w:ascii="Times New Roman" w:cs="Times New Roman" w:eastAsia="Times New Roman" w:hAnsi="Times New Roman"/>
          <w:sz w:val="18"/>
          <w:szCs w:val="18"/>
          <w:color w:val="auto"/>
        </w:rPr>
        <w:t>The Series A Term Preferred Shares are recorded net of unamortized deferred issuance costs and included as a liability on the Statement of Assets and Liabilities. The carrying value of the Series A Term Preferred Shares is $50,135,030. The Fund’s Series A Term Preferred Shares balances as of June 30, 2024, were as follows:</w:t>
      </w:r>
    </w:p>
    <w:p>
      <w:pPr>
        <w:spacing w:after="0" w:line="111"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3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0" w:type="dxa"/>
            <w:vAlign w:val="bottom"/>
          </w:tcPr>
          <w:p>
            <w:pPr>
              <w:spacing w:after="0"/>
              <w:rPr>
                <w:sz w:val="1"/>
                <w:szCs w:val="1"/>
                <w:color w:val="auto"/>
              </w:rPr>
            </w:pPr>
          </w:p>
        </w:tc>
      </w:tr>
      <w:tr>
        <w:trPr>
          <w:trHeight w:val="21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Liquidation preference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52,000,000</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deferred issuance costs</w:t>
            </w:r>
          </w:p>
        </w:tc>
        <w:tc>
          <w:tcPr>
            <w:tcW w:w="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1,864,970</w:t>
            </w: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50,135,030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Fair value </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60" w:type="dxa"/>
            <w:vAlign w:val="bottom"/>
            <w:vMerge w:val="continue"/>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53,539,200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Fair value price per share </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Represents the </w:t>
      </w:r>
      <w:r>
        <w:rPr>
          <w:rFonts w:ascii="Times New Roman" w:cs="Times New Roman" w:eastAsia="Times New Roman" w:hAnsi="Times New Roman"/>
          <w:sz w:val="17"/>
          <w:szCs w:val="17"/>
          <w:color w:val="auto"/>
        </w:rPr>
        <w:t>June 30, 2024</w:t>
      </w:r>
      <w:r>
        <w:rPr>
          <w:rFonts w:ascii="Times New Roman" w:cs="Times New Roman" w:eastAsia="Times New Roman" w:hAnsi="Times New Roman"/>
          <w:sz w:val="16"/>
          <w:szCs w:val="16"/>
          <w:color w:val="auto"/>
        </w:rPr>
        <w:t xml:space="preserve"> closing market price per share of the Series A Term Preferred Shares on the New York Stock Exchange.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Fund has an unlimited amount of common shares, no par value, authorized and 13,048,818 issued and outstanding. Transactions in common shares for the nine month period ended June 30,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r>
      <w:tr>
        <w:trPr>
          <w:trHeight w:val="212"/>
        </w:trPr>
        <w:tc>
          <w:tcPr>
            <w:tcW w:w="8220" w:type="dxa"/>
            <w:vAlign w:val="bottom"/>
          </w:tcPr>
          <w:p>
            <w:pPr>
              <w:spacing w:after="0"/>
              <w:rPr>
                <w:sz w:val="18"/>
                <w:szCs w:val="18"/>
                <w:color w:val="auto"/>
              </w:rPr>
            </w:pPr>
          </w:p>
        </w:tc>
        <w:tc>
          <w:tcPr>
            <w:tcW w:w="19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30, 2024</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Shares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11,725,357</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through dividend reinvestment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ATM program</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1,252,995</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Shares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13,048,818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(“ATM”) Program</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4, 2023, the Fund entered into an Equity Distribution Agreement with Ladenburg Thalmann &amp; Co. Inc, B. Riley Securities, Inc., and Oppenheimer &amp; Co Inc. (the “Placement Agents”) that allows for the offer and sale of up to $75,000,000 aggregate amount of the Fund’s common shares, through the Placement Agents, made by an at-the-market offering as defined in Rule 415 under the Securities Act of 1933. The minimum price on any day at which common shares may be sold will not be below the current net asset value of such common shares. For the nine month period ended June 30, 2024, the Fund sold a total of 1,252,995 common shares pursuant to the ATM program. The total amount of capital raised under these issuances was $10,152,650 and net proceeds were $9,954,323 after deducting the Placement Agents’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Fund has not recorded a liability for any uncertain tax positions pursuant to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 of June 30, 2024.</w:t>
      </w:r>
    </w:p>
    <w:p>
      <w:pPr>
        <w:spacing w:after="0" w:line="22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Fund is subject to examination by federal and certain state, local and foreign tax regulators. As of June 30, 2024, the Fund had filed tax returns. The Fund’s federal tax returns are generally subject to examination by the Internal Revenue Service for a period of three years after they are filed.</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Fund’s taxable income for each period is an estimate and will not be finally determined until the Fund files its tax return for each year. Therefore, the final taxable income, and the taxable income earned in each period and carried forward for distribution in the following period, may be different than this estimate. For the nine month period ended June 30, 2024, the Fund made distributions of $11,152,434, in which the final tax character of income will be determined at year end.</w:t>
      </w:r>
    </w:p>
    <w:p>
      <w:pPr>
        <w:spacing w:after="0" w:line="9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aggregate cost of securities and other investments and the composition of unrealized appreciation and depreciation of securities and other investments for federal income tax purposes at period end are noted in the following table.</w:t>
      </w:r>
    </w:p>
    <w:p>
      <w:pPr>
        <w:spacing w:after="0" w:line="110"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5360" w:type="dxa"/>
            <w:vAlign w:val="bottom"/>
            <w:tcBorders>
              <w:bottom w:val="single" w:sz="8" w:color="CCEEFF"/>
            </w:tcBorders>
          </w:tcPr>
          <w:p>
            <w:pPr>
              <w:spacing w:after="0"/>
              <w:rPr>
                <w:sz w:val="18"/>
                <w:szCs w:val="18"/>
                <w:color w:val="auto"/>
              </w:rPr>
            </w:pPr>
          </w:p>
        </w:tc>
        <w:tc>
          <w:tcPr>
            <w:tcW w:w="25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June 30, 2024</w:t>
            </w:r>
          </w:p>
        </w:tc>
      </w:tr>
      <w:tr>
        <w:trPr>
          <w:trHeight w:val="21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tax cost of securities</w:t>
            </w:r>
          </w:p>
        </w:tc>
        <w:tc>
          <w:tcPr>
            <w:tcW w:w="8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147,090,807</w:t>
            </w:r>
          </w:p>
        </w:tc>
      </w:tr>
      <w:tr>
        <w:trPr>
          <w:trHeight w:val="207"/>
        </w:trPr>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Gross unrealized appreciation</w:t>
            </w:r>
          </w:p>
        </w:tc>
        <w:tc>
          <w:tcPr>
            <w:tcW w:w="8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1,918,273</w:t>
            </w:r>
          </w:p>
        </w:tc>
      </w:tr>
      <w:tr>
        <w:trPr>
          <w:trHeight w:val="216"/>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unrealized depreciation</w:t>
            </w:r>
          </w:p>
        </w:tc>
        <w:tc>
          <w:tcPr>
            <w:tcW w:w="8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(11,008,173)</w:t>
            </w: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appreciation (depreciation)</w:t>
            </w: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(9,089,900)</w:t>
            </w: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180"/>
          </w:cols>
          <w:pgMar w:left="320" w:top="11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2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For the period from July 1, 2024 to August 20, 2024, the Fund sold 851,054 of common shares, pursuant to the ATM offering, for total net proceeds to the Fund of $6,787,334. In connection with such sales, the Fund paid a total of $135,687 in Placement Agent commissions.</w:t>
      </w:r>
    </w:p>
    <w:p>
      <w:pPr>
        <w:spacing w:after="0" w:line="5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July 31, 2024, the Fund paid a monthly dividend of $0.1050 per common share to holders of record on July 19, 2024. Additionally, on August 21, 2024, the Fund declared dividends of $0.1050 per common share, payable on each of September 30, 2024, October 31, 2024, and November 29, 2024, to holders of record as of September, 18, 2024, October 21, 2024, and November 18, 2024, respectively.</w:t>
      </w:r>
    </w:p>
    <w:p>
      <w:pPr>
        <w:spacing w:after="0" w:line="6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31, 2024, the Fund paid a monthly dividend of $0.1823 per share on its 8.75% Series A Term Preferred Shares to holders of record on July 19, 2024. Additionally, on August 21 2024, the Fund declared dividends of $0.1823 per share on its 8.75% Series A Term Preferred Shares, payable on each of September 30, 2024, October 31, 2024, and November 29, 2024, to holders of record as of September 18, 2024, October 21, 2024, and November 18, 2024, respectively.</w:t>
      </w:r>
    </w:p>
    <w:p>
      <w:pPr>
        <w:spacing w:after="0" w:line="7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Fund evaluated subsequent events through the date the financial statements were issued and noted no other events that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20"/>
          </w:cols>
          <w:pgMar w:left="320" w:top="117" w:right="359" w:bottom="1440" w:gutter="0" w:footer="0" w:header="0"/>
        </w:sectPr>
      </w:pPr>
    </w:p>
    <w:bookmarkStart w:id="24" w:name="page25"/>
    <w:bookmarkEnd w:id="24"/>
    <w:p>
      <w:pPr>
        <w:ind w:left="100"/>
        <w:spacing w:after="0"/>
        <w:rPr>
          <w:sz w:val="20"/>
          <w:szCs w:val="20"/>
          <w:color w:val="auto"/>
        </w:rPr>
      </w:pPr>
      <w:r>
        <w:rPr>
          <w:rFonts w:ascii="Times New Roman" w:cs="Times New Roman" w:eastAsia="Times New Roman" w:hAnsi="Times New Roman"/>
          <w:sz w:val="18"/>
          <w:szCs w:val="18"/>
          <w:b w:val="1"/>
          <w:bCs w:val="1"/>
          <w:color w:val="auto"/>
        </w:rPr>
        <w:t>CARLYLE CREDIT INCOME FUND</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FINANCIAL HIGHLIGHTS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Ended June 30,</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line="213"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1"/>
                <w:szCs w:val="21"/>
                <w:b w:val="1"/>
                <w:bCs w:val="1"/>
                <w:color w:val="auto"/>
                <w:vertAlign w:val="superscript"/>
              </w:rPr>
              <w:t>(5)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Share Operating Data</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10.39</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12.05</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investment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(1)(2)</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and unrealized gain (loss)</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Total from investment operations</w:t>
            </w:r>
          </w:p>
        </w:tc>
        <w:tc>
          <w:tcPr>
            <w:tcW w:w="10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to shareholders from:</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gains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dividends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(0.82)</w:t>
            </w:r>
          </w:p>
        </w:tc>
        <w:tc>
          <w:tcPr>
            <w:tcW w:w="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market value at beginning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8.92</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9.93</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Per share market value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8.18</w:t>
            </w:r>
          </w:p>
        </w:tc>
        <w:tc>
          <w:tcPr>
            <w:tcW w:w="2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10.49</w:t>
            </w:r>
          </w:p>
        </w:tc>
        <w:tc>
          <w:tcPr>
            <w:tcW w:w="2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(2.77)%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(5.95)%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end of period (in thousands)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100,170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98,751</w:t>
            </w:r>
          </w:p>
        </w:tc>
        <w:tc>
          <w:tcPr>
            <w:tcW w:w="5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107,829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121,324</w:t>
            </w:r>
          </w:p>
        </w:tc>
        <w:tc>
          <w:tcPr>
            <w:tcW w:w="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125,034</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Ratio of gross expenses to average net assets </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7.42 %</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Ratio of net expenses to average net assets </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Ratio of net investment income to average net assets </w:t>
            </w:r>
            <w:r>
              <w:rPr>
                <w:rFonts w:ascii="Times New Roman" w:cs="Times New Roman" w:eastAsia="Times New Roman" w:hAnsi="Times New Roman"/>
                <w:sz w:val="21"/>
                <w:szCs w:val="21"/>
                <w:color w:val="auto"/>
                <w:vertAlign w:val="superscript"/>
              </w:rPr>
              <w:t>(2)(4)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0.56 %</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20.13 %</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 Outstanding, End of Year/Period (in thousands) </w:t>
            </w:r>
            <w:r>
              <w:rPr>
                <w:rFonts w:ascii="Times New Roman" w:cs="Times New Roman" w:eastAsia="Times New Roman" w:hAnsi="Times New Roman"/>
                <w:sz w:val="21"/>
                <w:szCs w:val="21"/>
                <w:color w:val="auto"/>
                <w:vertAlign w:val="superscript"/>
              </w:rPr>
              <w:t>(6)</w:t>
            </w:r>
          </w:p>
        </w:tc>
        <w:tc>
          <w:tcPr>
            <w:tcW w:w="10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7,455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1,923</w:t>
            </w:r>
          </w:p>
        </w:tc>
        <w:tc>
          <w:tcPr>
            <w:tcW w:w="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Asset Coverage Ratio for Loan Outstanding </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1062 %</w:t>
            </w:r>
          </w:p>
        </w:tc>
        <w:tc>
          <w:tcPr>
            <w:tcW w:w="0" w:type="dxa"/>
            <w:vAlign w:val="bottom"/>
          </w:tcPr>
          <w:p>
            <w:pPr>
              <w:spacing w:after="0"/>
              <w:rPr>
                <w:sz w:val="1"/>
                <w:szCs w:val="1"/>
                <w:color w:val="auto"/>
              </w:rPr>
            </w:pPr>
          </w:p>
        </w:tc>
      </w:tr>
      <w:tr>
        <w:trPr>
          <w:trHeight w:val="162"/>
        </w:trPr>
        <w:tc>
          <w:tcPr>
            <w:tcW w:w="40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Asset Coverage, per $1,000 Principal Amount of Loan</w:t>
            </w:r>
          </w:p>
        </w:tc>
        <w:tc>
          <w:tcPr>
            <w:tcW w:w="100" w:type="dxa"/>
            <w:vAlign w:val="bottom"/>
          </w:tcPr>
          <w:p>
            <w:pPr>
              <w:spacing w:after="0"/>
              <w:rPr>
                <w:sz w:val="14"/>
                <w:szCs w:val="14"/>
                <w:color w:val="auto"/>
              </w:rPr>
            </w:pPr>
          </w:p>
        </w:tc>
        <w:tc>
          <w:tcPr>
            <w:tcW w:w="12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5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15,463</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64,090</w:t>
            </w:r>
          </w:p>
        </w:tc>
        <w:tc>
          <w:tcPr>
            <w:tcW w:w="5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10,618</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Outstanding </w:t>
            </w:r>
            <w:r>
              <w:rPr>
                <w:rFonts w:ascii="Times New Roman" w:cs="Times New Roman" w:eastAsia="Times New Roman" w:hAnsi="Times New Roman"/>
                <w:sz w:val="21"/>
                <w:szCs w:val="21"/>
                <w:color w:val="auto"/>
                <w:vertAlign w:val="superscript"/>
              </w:rPr>
              <w:t>(6)</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Loans Outstanding (in thousands) </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3,732</w:t>
            </w:r>
          </w:p>
        </w:tc>
        <w:tc>
          <w:tcPr>
            <w:tcW w:w="5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10,788</w:t>
            </w:r>
          </w:p>
        </w:tc>
        <w:tc>
          <w:tcPr>
            <w:tcW w:w="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9,796</w:t>
            </w:r>
          </w:p>
        </w:tc>
        <w:tc>
          <w:tcPr>
            <w:tcW w:w="0" w:type="dxa"/>
            <w:vAlign w:val="bottom"/>
          </w:tcPr>
          <w:p>
            <w:pPr>
              <w:spacing w:after="0"/>
              <w:rPr>
                <w:sz w:val="1"/>
                <w:szCs w:val="1"/>
                <w:color w:val="auto"/>
              </w:rPr>
            </w:pPr>
          </w:p>
        </w:tc>
      </w:tr>
      <w:tr>
        <w:trPr>
          <w:trHeight w:val="281"/>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 Average Interest Rate on Loans Outstanding </w:t>
            </w:r>
            <w:r>
              <w:rPr>
                <w:rFonts w:ascii="Times New Roman" w:cs="Times New Roman" w:eastAsia="Times New Roman" w:hAnsi="Times New Roman"/>
                <w:sz w:val="21"/>
                <w:szCs w:val="21"/>
                <w:color w:val="auto"/>
                <w:vertAlign w:val="superscript"/>
              </w:rPr>
              <w:t>(6)</w:t>
            </w:r>
          </w:p>
        </w:tc>
        <w:tc>
          <w:tcPr>
            <w:tcW w:w="10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7.94 %</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hanging="2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amounts are calculated using the annual average shares method, which more appropriately presents the per share data for the period.</w:t>
      </w:r>
    </w:p>
    <w:p>
      <w:pPr>
        <w:spacing w:after="0" w:line="23" w:lineRule="exact"/>
        <w:rPr>
          <w:rFonts w:ascii="Times New Roman" w:cs="Times New Roman" w:eastAsia="Times New Roman" w:hAnsi="Times New Roman"/>
          <w:sz w:val="16"/>
          <w:szCs w:val="16"/>
          <w:color w:val="auto"/>
        </w:rPr>
      </w:pPr>
    </w:p>
    <w:p>
      <w:pPr>
        <w:ind w:left="360" w:hanging="252"/>
        <w:spacing w:after="0" w:line="248" w:lineRule="auto"/>
        <w:tabs>
          <w:tab w:leader="none" w:pos="3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net investment income is annualized except for Organizational Fees, which are one time expenses, and calculated excluding Expense Waiver. If Expense Waiver were included, the ratio would have been lower. For the nine month period ended June 30, 2024, there were no expenses waived.</w:t>
      </w:r>
    </w:p>
    <w:p>
      <w:pPr>
        <w:spacing w:after="0" w:line="1" w:lineRule="exact"/>
        <w:rPr>
          <w:rFonts w:ascii="Times New Roman" w:cs="Times New Roman" w:eastAsia="Times New Roman" w:hAnsi="Times New Roman"/>
          <w:sz w:val="16"/>
          <w:szCs w:val="16"/>
          <w:color w:val="auto"/>
        </w:rPr>
      </w:pPr>
    </w:p>
    <w:p>
      <w:pPr>
        <w:ind w:left="360" w:right="100" w:hanging="252"/>
        <w:spacing w:after="0" w:line="255" w:lineRule="auto"/>
        <w:tabs>
          <w:tab w:leader="none" w:pos="3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returns are historical in nature and assume changes in share price, reinvestment of dividends and capital gains distributions, if any, and excludes the effect of sales charges. Had the Adviser not waived expenses, total returns would have been lower.</w:t>
      </w:r>
    </w:p>
    <w:p>
      <w:pPr>
        <w:ind w:left="360" w:right="60" w:hanging="252"/>
        <w:spacing w:after="0" w:line="252" w:lineRule="auto"/>
        <w:tabs>
          <w:tab w:leader="none" w:pos="3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ratios have been annualized, except for Organizational Fees which are one time expenses, and Expense Waiver which is not annualized. If Expense Waiver had been excluded, the expense ratios would have been lower. Expenses do not include expenses from underlying funds in which the Fund has been invested. For the nine month period ended June 30, 2024, there were no expenses waived.</w:t>
      </w:r>
    </w:p>
    <w:p>
      <w:pPr>
        <w:ind w:left="360" w:right="100" w:hanging="252"/>
        <w:spacing w:after="0" w:line="256" w:lineRule="auto"/>
        <w:tabs>
          <w:tab w:leader="none" w:pos="3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at the close of business on July 14, 2023, CGCIM replaced Oakline Advisors as the Fund’s new investment adviser and the Fund’s investment strategy was changed to invest primarily in debt and equity tranches issued by collateralized loan obligations. Prior to the close of business on July 14, 2023, the investment strategy was to invest primarily in mortgage notes secured by residential real estate.</w:t>
      </w:r>
    </w:p>
    <w:p>
      <w:pPr>
        <w:spacing w:after="0" w:line="1" w:lineRule="exact"/>
        <w:rPr>
          <w:rFonts w:ascii="Times New Roman" w:cs="Times New Roman" w:eastAsia="Times New Roman" w:hAnsi="Times New Roman"/>
          <w:sz w:val="16"/>
          <w:szCs w:val="16"/>
          <w:color w:val="auto"/>
        </w:rPr>
      </w:pPr>
    </w:p>
    <w:p>
      <w:pPr>
        <w:ind w:left="340" w:hanging="2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2024, the Fund did not have any outstanding loans. A revolving line of credit agreement between the Fund and Nexbank was terminated on July 5, 2023.</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See accompanying Notes to Financial Statements.</w:t>
      </w: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22</w:t>
      </w:r>
    </w:p>
    <w:sectPr>
      <w:pgSz w:w="11900" w:h="16838" w:orient="portrait"/>
      <w:cols w:equalWidth="0" w:num="1">
        <w:col w:w="11300"/>
      </w:cols>
      <w:pgMar w:left="2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4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6"/>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2024-08-21T15:13:41Z</dcterms:created>
  <dcterms:modified xsi:type="dcterms:W3CDTF">2024-08-21T15:13:41Z</dcterms:modified>
</cp:coreProperties>
</file>