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Washington, DC 20549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  <w:r>
        <w:rPr>
          <w:caps w:val="false"/>
          <w:smallCaps w:val="false"/>
          <w:sz w:val="36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CURRENT REPORT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Pursuant to Section 13 OR 15(d) of the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Securities Exchange Act of 1934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 xml:space="preserve">Date of Report (Date of earliest event reported):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June 12, 2026</w:t>
      </w:r>
      <w:r>
        <w:rPr>
          <w:caps w:val="false"/>
          <w:smallCaps w:val="false"/>
          <w:sz w:val="24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480" w:before="0" w:after="0"/>
        <w:jc w:val="left"/>
        <w:rPr>
          <w:sz w:val="4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  <w:t>Carlyle Credit Income Fund</w:t>
      </w:r>
      <w:r>
        <w:rPr>
          <w:caps w:val="false"/>
          <w:smallCaps w:val="false"/>
          <w:sz w:val="48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(Exact name of registrant as specified in its charter)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6"/>
        <w:gridCol w:w="146"/>
        <w:gridCol w:w="1066"/>
        <w:gridCol w:w="109"/>
        <w:gridCol w:w="146"/>
        <w:gridCol w:w="1486"/>
      </w:tblGrid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Delaware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811-22554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45-2904236</w:t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(State or Other Jurisdiction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of Incorporation)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(Commission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File Number)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(IRS Employer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Identification No.)</w:t>
            </w:r>
          </w:p>
        </w:tc>
      </w:tr>
      <w:tr>
        <w:trPr/>
        <w:tc>
          <w:tcPr>
            <w:tcW w:w="335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One Vanderbilt Avenue, Suite 3400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</w:rPr>
              <w:t xml:space="preserve">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New York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New York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10017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(Address of Principal Executive Offices, Zip Code)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212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)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813-4900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(Registrant’s Telephone Number, Including Area Code)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 Applicable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(Former Name or Former Address, if Changed Since Last Report)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Check the appropriate box below if the Form 8-K filing is intended to simultaneously satisfy the filing obligation of the registrant under any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the following provisions (see General Instruction A.2. below):</w:t>
      </w:r>
    </w:p>
    <w:tbl>
      <w:tblPr>
        <w:tblW w:w="84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Written communications pursuant to Rule 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Soliciting material pursuant to Rule 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13e-4(c) under the Exchange Act (17 CFR 240.13e-4(c))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61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96"/>
        <w:gridCol w:w="1456"/>
        <w:gridCol w:w="3316"/>
      </w:tblGrid>
      <w:tr>
        <w:trPr/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Title of each class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Trading Symbol(s)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Shares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CCIF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Preferred Shares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CCID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Indicate by check mark whether the registrant is an emerging growth company as defined in Rule 405 of the Securities Act of 1933 (§230.405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this chapter) or Rule 12b-2 of the Securities Exchange Act of 1934 (§240.12b-2 of this chapter).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Emerging growth company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If an emerging growth company, indicate by check mark if the registrant has elected not to use the extended transition period for complying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with any new or revised financial accounting standards provided pursuant to Section 13(a) of the Exchange Act. </w:t>
      </w:r>
      <w:r>
        <w:rPr>
          <w:caps w:val="false"/>
          <w:smallCaps w:val="false"/>
        </w:rPr>
        <w:t>☐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 8.01 – Other Events.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Management’s unaudited net asset value per common share as of May 31, 2026 was $3.54.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Pursuant to the requirements of the Securities Exchange Act of 1934, the Registrant has duly caused this report to be signed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its behalf by the undersigned hereunto duly authorized.</w:t>
      </w:r>
    </w:p>
    <w:tbl>
      <w:tblPr>
        <w:tblW w:w="57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146"/>
        <w:gridCol w:w="406"/>
        <w:gridCol w:w="146"/>
        <w:gridCol w:w="3166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CARLYLE CREDIT INCOME FUND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(Registrant)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Dated: June 12, 2026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/s/ Nelson Joseph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Name: Nelson Joseph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Title: Principal Financial Officer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383</Words>
  <Characters>2106</Characters>
  <CharactersWithSpaces>2460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