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530225</wp:posOffset>
            </wp:positionH>
            <wp:positionV relativeFrom="page">
              <wp:posOffset>540385</wp:posOffset>
            </wp:positionV>
            <wp:extent cx="64877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7795" cy="698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902970</wp:posOffset>
            </wp:positionH>
            <wp:positionV relativeFrom="paragraph">
              <wp:posOffset>40005</wp:posOffset>
            </wp:positionV>
            <wp:extent cx="39008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902970</wp:posOffset>
            </wp:positionH>
            <wp:positionV relativeFrom="paragraph">
              <wp:posOffset>57150</wp:posOffset>
            </wp:positionV>
            <wp:extent cx="39008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 INVESTMENT COMPANIES</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Company Act File Number 811-22554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110490</wp:posOffset>
            </wp:positionV>
            <wp:extent cx="39008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Carlyle Credit Income Fund</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902970</wp:posOffset>
            </wp:positionH>
            <wp:positionV relativeFrom="paragraph">
              <wp:posOffset>33655</wp:posOffset>
            </wp:positionV>
            <wp:extent cx="39008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One Vanderbilt Avenue, Suite 3400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902970</wp:posOffset>
            </wp:positionH>
            <wp:positionV relativeFrom="paragraph">
              <wp:posOffset>140335</wp:posOffset>
            </wp:positionV>
            <wp:extent cx="39008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Joshua Lefkowitz, Esq.</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Chief Legal Officer, Carlyle Credit Income Fund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One Vanderbilt Avenue, Suite 3400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902970</wp:posOffset>
            </wp:positionH>
            <wp:positionV relativeFrom="paragraph">
              <wp:posOffset>140335</wp:posOffset>
            </wp:positionV>
            <wp:extent cx="39008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00805" cy="698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813-4900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fiscal year end: September 30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reporting period: September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-732790</wp:posOffset>
            </wp:positionH>
            <wp:positionV relativeFrom="paragraph">
              <wp:posOffset>1256665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757555</wp:posOffset>
            </wp:positionV>
            <wp:extent cx="64877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7795" cy="698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Reports to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annual report to stockholders for the year ended September 30, 2023 is filed herewith pursuant to Rule 30e -1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3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594360</wp:posOffset>
            </wp:positionV>
            <wp:extent cx="1347470" cy="168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47470" cy="168275"/>
                    </a:xfrm>
                    <a:prstGeom prst="rect">
                      <a:avLst/>
                    </a:prstGeom>
                    <a:noFill/>
                  </pic:spPr>
                </pic:pic>
              </a:graphicData>
            </a:graphic>
          </wp:anchor>
        </w:drawing>
        <w:t>CARLYLE CREDIT INCOME FUND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5173980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4380" w:type="dxa"/>
            <w:vAlign w:val="bottom"/>
            <w:gridSpan w:val="4"/>
          </w:tcPr>
          <w:p>
            <w:pPr>
              <w:ind w:left="27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3"/>
        </w:trPr>
        <w:tc>
          <w:tcPr>
            <w:tcW w:w="69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Year End 2023 Shareholder Letter</w:t>
            </w:r>
          </w:p>
        </w:tc>
        <w:tc>
          <w:tcPr>
            <w:tcW w:w="2920" w:type="dxa"/>
            <w:vAlign w:val="bottom"/>
            <w:gridSpan w:val="2"/>
          </w:tcPr>
          <w:p>
            <w:pPr>
              <w:jc w:val="center"/>
              <w:ind w:left="2789"/>
              <w:spacing w:after="0" w:line="153" w:lineRule="exact"/>
              <w:rPr>
                <w:sz w:val="20"/>
                <w:szCs w:val="20"/>
                <w:color w:val="auto"/>
              </w:rPr>
            </w:pPr>
            <w:r>
              <w:rPr>
                <w:rFonts w:ascii="Times New Roman" w:cs="Times New Roman" w:eastAsia="Times New Roman" w:hAnsi="Times New Roman"/>
                <w:sz w:val="14"/>
                <w:szCs w:val="14"/>
                <w:color w:val="0000FF"/>
                <w:w w:val="85"/>
              </w:rPr>
              <w:t>1</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6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Important Information about this Report and Carlyle Credit Income Fund</w:t>
            </w:r>
          </w:p>
        </w:tc>
        <w:tc>
          <w:tcPr>
            <w:tcW w:w="2920" w:type="dxa"/>
            <w:vAlign w:val="bottom"/>
            <w:gridSpan w:val="2"/>
          </w:tcPr>
          <w:p>
            <w:pPr>
              <w:jc w:val="center"/>
              <w:ind w:left="2789"/>
              <w:spacing w:after="0"/>
              <w:rPr>
                <w:sz w:val="20"/>
                <w:szCs w:val="20"/>
                <w:color w:val="auto"/>
              </w:rPr>
            </w:pPr>
            <w:r>
              <w:rPr>
                <w:rFonts w:ascii="Times New Roman" w:cs="Times New Roman" w:eastAsia="Times New Roman" w:hAnsi="Times New Roman"/>
                <w:sz w:val="14"/>
                <w:szCs w:val="14"/>
                <w:color w:val="0000FF"/>
                <w:w w:val="85"/>
              </w:rPr>
              <w:t>3</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6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Data</w:t>
            </w:r>
          </w:p>
        </w:tc>
        <w:tc>
          <w:tcPr>
            <w:tcW w:w="2920" w:type="dxa"/>
            <w:vAlign w:val="bottom"/>
            <w:gridSpan w:val="2"/>
          </w:tcPr>
          <w:p>
            <w:pPr>
              <w:jc w:val="center"/>
              <w:ind w:left="2789"/>
              <w:spacing w:after="0"/>
              <w:rPr>
                <w:sz w:val="20"/>
                <w:szCs w:val="20"/>
                <w:color w:val="auto"/>
              </w:rPr>
            </w:pPr>
            <w:r>
              <w:rPr>
                <w:rFonts w:ascii="Times New Roman" w:cs="Times New Roman" w:eastAsia="Times New Roman" w:hAnsi="Times New Roman"/>
                <w:sz w:val="14"/>
                <w:szCs w:val="14"/>
                <w:color w:val="0000FF"/>
                <w:w w:val="85"/>
              </w:rPr>
              <w:t>7</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6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Summary of Certain Unaudited Portfolio Characteristics</w:t>
            </w:r>
          </w:p>
        </w:tc>
        <w:tc>
          <w:tcPr>
            <w:tcW w:w="2920" w:type="dxa"/>
            <w:vAlign w:val="bottom"/>
            <w:gridSpan w:val="2"/>
          </w:tcPr>
          <w:p>
            <w:pPr>
              <w:jc w:val="center"/>
              <w:ind w:left="2789"/>
              <w:spacing w:after="0"/>
              <w:rPr>
                <w:sz w:val="20"/>
                <w:szCs w:val="20"/>
                <w:color w:val="auto"/>
              </w:rPr>
            </w:pPr>
            <w:r>
              <w:rPr>
                <w:rFonts w:ascii="Times New Roman" w:cs="Times New Roman" w:eastAsia="Times New Roman" w:hAnsi="Times New Roman"/>
                <w:sz w:val="14"/>
                <w:szCs w:val="14"/>
                <w:color w:val="0000FF"/>
                <w:w w:val="85"/>
              </w:rPr>
              <w:t>8</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6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and Expenses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10</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of Assets and Liabilities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12</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Schedule of Investments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13</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of Operations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15</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Statements of Changes in Net Assets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16</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Statement of Cash Flows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to Financial Statements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18</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Highlights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Range of Common Shares</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35</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36</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of the Fund</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37</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Proxy Voting Policies and Proxy Voting Record</w:t>
            </w:r>
          </w:p>
        </w:tc>
        <w:tc>
          <w:tcPr>
            <w:tcW w:w="2820" w:type="dxa"/>
            <w:vAlign w:val="bottom"/>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c>
          <w:tcPr>
            <w:tcW w:w="1420" w:type="dxa"/>
            <w:vAlign w:val="bottom"/>
          </w:tcPr>
          <w:p>
            <w:pPr>
              <w:spacing w:after="0"/>
              <w:rPr>
                <w:sz w:val="13"/>
                <w:szCs w:val="13"/>
                <w:color w:val="auto"/>
              </w:rPr>
            </w:pPr>
          </w:p>
        </w:tc>
      </w:tr>
      <w:tr>
        <w:trPr>
          <w:trHeight w:val="16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Information</w:t>
            </w:r>
          </w:p>
        </w:tc>
        <w:tc>
          <w:tcPr>
            <w:tcW w:w="2960" w:type="dxa"/>
            <w:vAlign w:val="bottom"/>
            <w:gridSpan w:val="3"/>
          </w:tcPr>
          <w:p>
            <w:pPr>
              <w:jc w:val="center"/>
              <w:ind w:left="2749"/>
              <w:spacing w:after="0"/>
              <w:rPr>
                <w:sz w:val="20"/>
                <w:szCs w:val="20"/>
                <w:color w:val="auto"/>
              </w:rPr>
            </w:pPr>
            <w:r>
              <w:rPr>
                <w:rFonts w:ascii="Times New Roman" w:cs="Times New Roman" w:eastAsia="Times New Roman" w:hAnsi="Times New Roman"/>
                <w:sz w:val="14"/>
                <w:szCs w:val="14"/>
                <w:color w:val="0000FF"/>
                <w:w w:val="99"/>
              </w:rPr>
              <w:t>41</w:t>
            </w:r>
          </w:p>
        </w:tc>
        <w:tc>
          <w:tcPr>
            <w:tcW w:w="1420" w:type="dxa"/>
            <w:vAlign w:val="bottom"/>
          </w:tcPr>
          <w:p>
            <w:pPr>
              <w:spacing w:after="0"/>
              <w:rPr>
                <w:sz w:val="13"/>
                <w:szCs w:val="13"/>
                <w:color w:val="auto"/>
              </w:rPr>
            </w:pPr>
          </w:p>
        </w:tc>
      </w:tr>
      <w:tr>
        <w:trPr>
          <w:trHeight w:val="4787"/>
        </w:trPr>
        <w:tc>
          <w:tcPr>
            <w:tcW w:w="6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ANNUAL 2023 SHAREHOLDER LETTER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 REVIEW &amp; DISCUSSION OF PERFORMANCE</w:t>
      </w:r>
    </w:p>
    <w:p>
      <w:pPr>
        <w:spacing w:after="0" w:line="1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On July 17, 2023 Vertical Capital Income Fund (“VCIF”) announced that it changed its name from VCIF to Carlyle Credit Income Fund (“CCIF”) in connection with the transaction pursuant to which Carlyle Global Credit Investment Management L.L.C. became the investment adviser to the Fund. In connection with the transaction, the Fund’s investment mandate changed to focus on investing in equity and debt tranches of collateralized loan obligations (“CLOs”) to drive potential shareholder value.</w:t>
      </w:r>
    </w:p>
    <w:p>
      <w:pPr>
        <w:spacing w:after="0" w:line="15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On September 12, 2023, CCIF announced via press release the early completion of the initial transition plan. The transition plan included the following steps:</w:t>
      </w:r>
    </w:p>
    <w:p>
      <w:pPr>
        <w:spacing w:after="0" w:line="146" w:lineRule="exact"/>
        <w:rPr>
          <w:sz w:val="20"/>
          <w:szCs w:val="20"/>
          <w:color w:val="auto"/>
        </w:rPr>
      </w:pPr>
    </w:p>
    <w:p>
      <w:pPr>
        <w:ind w:left="520" w:right="80" w:hanging="260"/>
        <w:spacing w:after="0" w:line="24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completed the $10 million one-time payment to the fund’s shareholders of record on July 14, 2023;</w:t>
      </w:r>
    </w:p>
    <w:p>
      <w:pPr>
        <w:ind w:left="520" w:right="340" w:hanging="260"/>
        <w:spacing w:after="0" w:line="23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completed the tender offer to purchase $25 million of CCIF shares on August 28, 2023;</w:t>
      </w:r>
    </w:p>
    <w:p>
      <w:pPr>
        <w:ind w:left="520" w:right="60" w:hanging="260"/>
        <w:spacing w:after="0" w:line="23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made an additional $15 million investment in CCIF in newly issued shares and a private share purchase;</w:t>
      </w:r>
    </w:p>
    <w:p>
      <w:pPr>
        <w:ind w:left="520" w:right="80" w:hanging="260"/>
        <w:spacing w:after="0" w:line="23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successfully deployed the available initial cash proceeds for investments received from the portfolio sale announced on July 11, 2023 into a diverse pool of CLOs; and</w:t>
      </w:r>
    </w:p>
    <w:p>
      <w:pPr>
        <w:ind w:left="520" w:right="140" w:hanging="260"/>
        <w:spacing w:after="0" w:line="236"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declared a monthly dividend of $0.0994 for September, October, and November 2023, equating to 14.0% annualized dividend based on net asset value (“NAV”) as of August 31, 2023, higher than the 12.0% target dividend yield previously disclosed to investors.</w:t>
      </w:r>
    </w:p>
    <w:p>
      <w:pPr>
        <w:spacing w:after="0" w:line="16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 addition. net asset value has increased from $8.27 at closing of the transaction to $8.42 as of September 29, 2023.</w:t>
      </w:r>
    </w:p>
    <w:p>
      <w:pPr>
        <w:spacing w:after="0" w:line="1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On October 18, 2023, CCIF priced 1.2 million shares of its 8.75% Series A Preferred Shares due 2028 (NYSE: CCIA) at a public offering of $25 per share, resulting in gross and net proceeds to the Fund of approximately $30 million and $28.8 million, respectively. Subsequent to closing, the underwriters exercised their option to purchase an additional 80 thousand shares resulting in gross proceeds of $2 million. On November 21, CCIF priced an add-on of 0.8 million additional shares of CCIA at a price $25 per share, resulting in gross and net proceeds to the Fund of approximately $20 million and $19.3 million, respectively. Following the three issuances, the total size of CCIA is $52 million and results in CCIF meeting its target leverage goals. CCIA is rated ‘BBB+’ by Egan Jones Ratings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13474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hanging="75"/>
        <w:spacing w:after="0"/>
        <w:tabs>
          <w:tab w:leader="none" w:pos="8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Leveraged Commentary &amp; Data or “LCD” as of September 30, 2023</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Carlyle Internal Sources.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MARKET REVIEW</w:t>
      </w:r>
    </w:p>
    <w:p>
      <w:pPr>
        <w:spacing w:after="0" w:line="191" w:lineRule="exact"/>
        <w:rPr>
          <w:sz w:val="20"/>
          <w:szCs w:val="20"/>
          <w:color w:val="auto"/>
        </w:rPr>
      </w:pPr>
    </w:p>
    <w:p>
      <w:pPr>
        <w:ind w:left="320" w:right="100"/>
        <w:spacing w:after="0" w:line="231" w:lineRule="auto"/>
        <w:rPr>
          <w:sz w:val="20"/>
          <w:szCs w:val="20"/>
          <w:color w:val="auto"/>
        </w:rPr>
      </w:pPr>
      <w:r>
        <w:rPr>
          <w:rFonts w:ascii="Times New Roman" w:cs="Times New Roman" w:eastAsia="Times New Roman" w:hAnsi="Times New Roman"/>
          <w:sz w:val="14"/>
          <w:szCs w:val="14"/>
          <w:color w:val="auto"/>
        </w:rPr>
        <w:t>During the quarter, the LSTA U.S. Leveraged Loan Index (the “Index”) rose above $95 for the first time since August 2022, rising 1.27 points to end the quarter at $95.56.</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Leveraged Loans have returned 10.16% year-to-date through 9/30, the highest since the financial crisis. This compares to 5.86% for high yield bonds and 0.20% for investment grade bonds over the same period.</w:t>
      </w:r>
    </w:p>
    <w:p>
      <w:pPr>
        <w:spacing w:after="0" w:line="168" w:lineRule="exact"/>
        <w:rPr>
          <w:sz w:val="20"/>
          <w:szCs w:val="20"/>
          <w:color w:val="auto"/>
        </w:rPr>
      </w:pPr>
    </w:p>
    <w:p>
      <w:pPr>
        <w:ind w:left="320"/>
        <w:spacing w:after="0" w:line="228" w:lineRule="auto"/>
        <w:rPr>
          <w:sz w:val="20"/>
          <w:szCs w:val="20"/>
          <w:color w:val="auto"/>
        </w:rPr>
      </w:pPr>
      <w:r>
        <w:rPr>
          <w:rFonts w:ascii="Times New Roman" w:cs="Times New Roman" w:eastAsia="Times New Roman" w:hAnsi="Times New Roman"/>
          <w:sz w:val="14"/>
          <w:szCs w:val="14"/>
          <w:color w:val="auto"/>
        </w:rPr>
        <w:t>The loan market continues to be resilient as evidenced by increased issuance in the third quarter of 2023, continued low defaults, and underlying earnings growth. In the third quarter of 2023, new loan issuance totaled $76.3 billion, the highest level since the Federal Reserve began tightening monetary policy in the first quarter of 2022.</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LTM default rate of the Index has decreased to 1.27% from 1.71% for the second quarter of 2023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This compares to the historical average of 2.17% since 2003. Finally, the underlying companies in U.S. Carlyle managed CLOs, which totals approximately 600 companies, have experienced high single digit EBITDA growth in the third quarter of 2023. We believe that this is a good representation of the overall CLO market since Carlyle is the world’s largest CLO manager as of September 30, 2023.</w:t>
      </w:r>
      <w:r>
        <w:rPr>
          <w:rFonts w:ascii="Times New Roman" w:cs="Times New Roman" w:eastAsia="Times New Roman" w:hAnsi="Times New Roman"/>
          <w:sz w:val="18"/>
          <w:szCs w:val="18"/>
          <w:color w:val="auto"/>
          <w:vertAlign w:val="superscript"/>
        </w:rPr>
        <w:t>2</w:t>
      </w:r>
    </w:p>
    <w:p>
      <w:pPr>
        <w:spacing w:after="0" w:line="111" w:lineRule="exact"/>
        <w:rPr>
          <w:sz w:val="20"/>
          <w:szCs w:val="20"/>
          <w:color w:val="auto"/>
        </w:rPr>
      </w:pPr>
    </w:p>
    <w:p>
      <w:pPr>
        <w:ind w:left="320"/>
        <w:spacing w:after="0" w:line="239" w:lineRule="auto"/>
        <w:rPr>
          <w:sz w:val="20"/>
          <w:szCs w:val="20"/>
          <w:color w:val="auto"/>
        </w:rPr>
      </w:pPr>
      <w:r>
        <w:rPr>
          <w:rFonts w:ascii="Times New Roman" w:cs="Times New Roman" w:eastAsia="Times New Roman" w:hAnsi="Times New Roman"/>
          <w:sz w:val="14"/>
          <w:szCs w:val="14"/>
          <w:color w:val="auto"/>
        </w:rPr>
        <w:t>The third quarter of 2023 generally experienced a risk-on tone in the U.S. CLO market, although it experienced some softening towards the end of September. Spreads tightened in July as payroll data fell below expectations and the consumer price index figures pointed to further deceleration in prices. CLO spreads tightened with the rally persisting into August, albeit at a more moderate pace. The first half of September remained relatively calm; however, heightened concerns over potential rate increases, a persistently strong labor market, and a lower likelihood of a Federal Reserve rate pivot in the near term resulted in an increase in volatility and a softening of spreads in the month’s second half.</w:t>
      </w:r>
    </w:p>
    <w:p>
      <w:pPr>
        <w:spacing w:after="0" w:line="171" w:lineRule="exact"/>
        <w:rPr>
          <w:sz w:val="20"/>
          <w:szCs w:val="20"/>
          <w:color w:val="auto"/>
        </w:rPr>
      </w:pPr>
    </w:p>
    <w:p>
      <w:pPr>
        <w:ind w:left="320"/>
        <w:spacing w:after="0" w:line="225" w:lineRule="auto"/>
        <w:rPr>
          <w:sz w:val="20"/>
          <w:szCs w:val="20"/>
          <w:color w:val="auto"/>
        </w:rPr>
      </w:pPr>
      <w:r>
        <w:rPr>
          <w:rFonts w:ascii="Times New Roman" w:cs="Times New Roman" w:eastAsia="Times New Roman" w:hAnsi="Times New Roman"/>
          <w:sz w:val="14"/>
          <w:szCs w:val="14"/>
          <w:color w:val="auto"/>
        </w:rPr>
        <w:t>New issue CLO volume increased in the third quarter of 2023 to $29.1 billion, outpacing the second quarter of 2023’s volume by approximately $7 billion. U.S. CLO issuance was $85.5 billion through September 30, 2023, a 20% decrease compared to 2022</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CLO warehouse balances have steadily declined from a peak of $53 billion in 2021 to approximately $17 billion as of the third quarter of 2023, clearing much of the backlog</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We have observed a gradual decline in funding costs based on recent CLO issuances. These favorable conditions facilitated the refinancings and resets of expensive structures issued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240" w:space="360"/>
            <w:col w:w="5560"/>
          </w:cols>
          <w:pgMar w:left="300" w:top="728" w:right="439" w:bottom="1440" w:gutter="0" w:footer="0" w:header="0"/>
        </w:sectPr>
      </w:pPr>
    </w:p>
    <w:bookmarkStart w:id="5" w:name="page6"/>
    <w:bookmarkEnd w:id="5"/>
    <w:p>
      <w:pPr>
        <w:ind w:right="5019"/>
        <w:spacing w:after="0" w:line="248" w:lineRule="auto"/>
        <w:rPr>
          <w:sz w:val="20"/>
          <w:szCs w:val="20"/>
          <w:color w:val="auto"/>
        </w:rPr>
      </w:pPr>
      <w:r>
        <w:rPr>
          <w:rFonts w:ascii="Times New Roman" w:cs="Times New Roman" w:eastAsia="Times New Roman" w:hAnsi="Times New Roman"/>
          <w:sz w:val="14"/>
          <w:szCs w:val="14"/>
          <w:color w:val="auto"/>
        </w:rPr>
        <w:t>In the secondary CLO equity market, higher-quality managers and longer tenor profiles benefited from most of the tightening compared to lower-tier names that tightened less and occasionally remained range-bound based on profile, vintage, market value metrics, reinvestment window, and other investment factors.</w:t>
      </w:r>
    </w:p>
    <w:p>
      <w:pPr>
        <w:spacing w:after="0" w:line="162" w:lineRule="exact"/>
        <w:rPr>
          <w:sz w:val="20"/>
          <w:szCs w:val="20"/>
          <w:color w:val="auto"/>
        </w:rPr>
      </w:pPr>
    </w:p>
    <w:p>
      <w:pPr>
        <w:ind w:right="5019"/>
        <w:spacing w:after="0" w:line="230" w:lineRule="auto"/>
        <w:rPr>
          <w:sz w:val="20"/>
          <w:szCs w:val="20"/>
          <w:color w:val="auto"/>
        </w:rPr>
      </w:pPr>
      <w:r>
        <w:rPr>
          <w:rFonts w:ascii="Times New Roman" w:cs="Times New Roman" w:eastAsia="Times New Roman" w:hAnsi="Times New Roman"/>
          <w:sz w:val="14"/>
          <w:szCs w:val="14"/>
          <w:color w:val="auto"/>
        </w:rPr>
        <w:t>Quarterly payments to the equity tranche averaged 4.20% in the third quarter of 2023, in line with 4.18% for the second quarter of 2023. We believe fourth quarter 2023 payments may be similar</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The second and third quarter 2023 equity distributions are the highest we have seen since 2016. The 4.20% average equity payment in the second quarter of 2023 represents payment on par and equates to approximately 17% on an annualized basis. We expect CCIF’s quarterly cash-on-cash to be closer to mid-twenties given that we purchased CLO equity investments in the secondary market at discounted prices.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 &amp; OUTLOOK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taking over as the investment adviser we have been able to fully deploy the initial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and are pleased with the diversified portfolio that we have created.</w:t>
      </w:r>
    </w:p>
    <w:p>
      <w:pPr>
        <w:spacing w:after="0" w:line="173" w:lineRule="exact"/>
        <w:rPr>
          <w:sz w:val="20"/>
          <w:szCs w:val="20"/>
          <w:color w:val="auto"/>
        </w:rPr>
      </w:pPr>
    </w:p>
    <w:p>
      <w:pPr>
        <w:ind w:right="5039"/>
        <w:spacing w:after="0" w:line="254" w:lineRule="auto"/>
        <w:rPr>
          <w:sz w:val="20"/>
          <w:szCs w:val="20"/>
          <w:color w:val="auto"/>
        </w:rPr>
      </w:pPr>
      <w:r>
        <w:rPr>
          <w:rFonts w:ascii="Times New Roman" w:cs="Times New Roman" w:eastAsia="Times New Roman" w:hAnsi="Times New Roman"/>
          <w:sz w:val="14"/>
          <w:szCs w:val="14"/>
          <w:color w:val="auto"/>
        </w:rPr>
        <w:t>The current portfolio consists of 24 unique CLO investments managed by 19 different collateral managers with exposure to 2,053 separate loans. The weighted average effective yield of the portfolio is 18.16%.</w:t>
      </w:r>
    </w:p>
    <w:p>
      <w:pPr>
        <w:spacing w:after="0" w:line="157" w:lineRule="exact"/>
        <w:rPr>
          <w:sz w:val="20"/>
          <w:szCs w:val="20"/>
          <w:color w:val="auto"/>
        </w:rPr>
      </w:pPr>
    </w:p>
    <w:p>
      <w:pPr>
        <w:ind w:right="4979"/>
        <w:spacing w:after="0" w:line="248" w:lineRule="auto"/>
        <w:rPr>
          <w:sz w:val="20"/>
          <w:szCs w:val="20"/>
          <w:color w:val="auto"/>
        </w:rPr>
      </w:pPr>
      <w:r>
        <w:rPr>
          <w:rFonts w:ascii="Times New Roman" w:cs="Times New Roman" w:eastAsia="Times New Roman" w:hAnsi="Times New Roman"/>
          <w:sz w:val="14"/>
          <w:szCs w:val="14"/>
          <w:color w:val="auto"/>
        </w:rPr>
        <w:t>We remain cautious on the economic outlook and heightening geopolitical tensions. As a result, we have positioned our portfolio defensively with higher quality managers and deals with enhanced structural subordination, as evidenced by the portfolio’s weighted average junior over-collateralization cushion of 4.98%.</w:t>
      </w:r>
    </w:p>
    <w:p>
      <w:pPr>
        <w:spacing w:after="0" w:line="152" w:lineRule="exact"/>
        <w:rPr>
          <w:sz w:val="20"/>
          <w:szCs w:val="20"/>
          <w:color w:val="auto"/>
        </w:rPr>
      </w:pPr>
    </w:p>
    <w:p>
      <w:pPr>
        <w:ind w:right="5019"/>
        <w:spacing w:after="0" w:line="245" w:lineRule="auto"/>
        <w:rPr>
          <w:sz w:val="20"/>
          <w:szCs w:val="20"/>
          <w:color w:val="auto"/>
        </w:rPr>
      </w:pPr>
      <w:r>
        <w:rPr>
          <w:rFonts w:ascii="Times New Roman" w:cs="Times New Roman" w:eastAsia="Times New Roman" w:hAnsi="Times New Roman"/>
          <w:sz w:val="14"/>
          <w:szCs w:val="14"/>
          <w:color w:val="auto"/>
        </w:rPr>
        <w:t>We believe that collateral manager due diligence is more important now than ever. We expect dispersion in CLO manager performance will persist and we believe our investment process can identify top-performing CLO managers through developed processes and systems. As the largest CLO manager, Carlyle can leverage in-house expertise to identify opportunities within its underlying CLO loan portfolios.</w:t>
      </w:r>
    </w:p>
    <w:p>
      <w:pPr>
        <w:spacing w:after="0" w:line="165" w:lineRule="exact"/>
        <w:rPr>
          <w:sz w:val="20"/>
          <w:szCs w:val="20"/>
          <w:color w:val="auto"/>
        </w:rPr>
      </w:pPr>
    </w:p>
    <w:p>
      <w:pPr>
        <w:jc w:val="both"/>
        <w:ind w:right="4919"/>
        <w:spacing w:after="0" w:line="244" w:lineRule="auto"/>
        <w:rPr>
          <w:sz w:val="20"/>
          <w:szCs w:val="20"/>
          <w:color w:val="auto"/>
        </w:rPr>
      </w:pPr>
      <w:r>
        <w:rPr>
          <w:rFonts w:ascii="Times New Roman" w:cs="Times New Roman" w:eastAsia="Times New Roman" w:hAnsi="Times New Roman"/>
          <w:sz w:val="14"/>
          <w:szCs w:val="14"/>
          <w:color w:val="auto"/>
        </w:rPr>
        <w:t>We continue to evaluate opportunities within the CLO equity tranche in both the primary and secondary markets. We have targeted recent vintages of Tier 1 and 2 managers with ample time remaining in the reinvestment period to offset expected losses in the underlying loan portfolios as loan downgrades and defaults continue to increase. Secondary CLO equity benefits from higher cash on cash quarterly payments while primary CLO equity can be attractive at certain points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134747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63" w:lineRule="exact"/>
        <w:rPr>
          <w:sz w:val="20"/>
          <w:szCs w:val="20"/>
          <w:color w:val="auto"/>
        </w:rPr>
      </w:pPr>
    </w:p>
    <w:p>
      <w:pPr>
        <w:ind w:left="80" w:hanging="75"/>
        <w:spacing w:after="0"/>
        <w:tabs>
          <w:tab w:leader="none" w:pos="8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Bank of America Global Research as of September 19, 2023</w:t>
      </w:r>
    </w:p>
    <w:p>
      <w:pPr>
        <w:spacing w:after="0" w:line="200" w:lineRule="exact"/>
        <w:rPr>
          <w:sz w:val="20"/>
          <w:szCs w:val="20"/>
          <w:color w:val="auto"/>
        </w:rPr>
      </w:pPr>
    </w:p>
    <w:p>
      <w:pPr>
        <w:spacing w:after="0" w:line="22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19"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color w:val="auto"/>
        </w:rPr>
        <w:t>IMPORTANT INFORMATION ABOUT THIS REPORT AND CARLYLE CREDIT INCOME FUND</w:t>
      </w:r>
    </w:p>
    <w:p>
      <w:pPr>
        <w:spacing w:after="0" w:line="96" w:lineRule="exact"/>
        <w:rPr>
          <w:sz w:val="20"/>
          <w:szCs w:val="20"/>
          <w:color w:val="auto"/>
        </w:rPr>
      </w:pPr>
    </w:p>
    <w:p>
      <w:pPr>
        <w:ind w:left="80" w:right="40" w:firstLine="509"/>
        <w:spacing w:after="0" w:line="287" w:lineRule="auto"/>
        <w:rPr>
          <w:sz w:val="20"/>
          <w:szCs w:val="20"/>
          <w:color w:val="auto"/>
        </w:rPr>
      </w:pPr>
      <w:r>
        <w:rPr>
          <w:rFonts w:ascii="Times New Roman" w:cs="Times New Roman" w:eastAsia="Times New Roman" w:hAnsi="Times New Roman"/>
          <w:sz w:val="14"/>
          <w:szCs w:val="14"/>
          <w:color w:val="auto"/>
        </w:rPr>
        <w:t>The following information in this Annual Report is a summary of certain changes since September 30, 2022. This information may not reflect all of the changes that have occurred since you purchased this Fund.</w:t>
      </w:r>
    </w:p>
    <w:p>
      <w:pPr>
        <w:spacing w:after="0" w:line="39" w:lineRule="exact"/>
        <w:rPr>
          <w:sz w:val="20"/>
          <w:szCs w:val="20"/>
          <w:color w:val="auto"/>
        </w:rPr>
      </w:pPr>
    </w:p>
    <w:p>
      <w:pPr>
        <w:ind w:left="80" w:firstLine="509"/>
        <w:spacing w:after="0" w:line="175" w:lineRule="exact"/>
        <w:rPr>
          <w:sz w:val="20"/>
          <w:szCs w:val="20"/>
          <w:color w:val="auto"/>
        </w:rPr>
      </w:pPr>
      <w:r>
        <w:rPr>
          <w:rFonts w:ascii="Times New Roman" w:cs="Times New Roman" w:eastAsia="Times New Roman" w:hAnsi="Times New Roman"/>
          <w:sz w:val="14"/>
          <w:szCs w:val="14"/>
          <w:color w:val="auto"/>
        </w:rPr>
        <w:t>During the most recent fiscal year, there have been no changes required to be reported in connection with: (i) the Funds’ investment objectives and principal investment policies that have not been approved by shareholders, (ii) the principal risks of the Fund, (iii) the portfolio managers of the Funds; or (iv) the Fund’s charter or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that would delay or prevent a change of control of the Fund that have not been approved by shareholders except as follows:</w:t>
      </w:r>
    </w:p>
    <w:p>
      <w:pPr>
        <w:spacing w:after="0" w:line="69" w:lineRule="exact"/>
        <w:rPr>
          <w:sz w:val="20"/>
          <w:szCs w:val="20"/>
          <w:color w:val="auto"/>
        </w:rPr>
      </w:pPr>
    </w:p>
    <w:p>
      <w:pPr>
        <w:ind w:left="220" w:right="240" w:hanging="220"/>
        <w:spacing w:after="0" w:line="290" w:lineRule="auto"/>
        <w:tabs>
          <w:tab w:leader="none" w:pos="2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Investment Objective and Principal Investment Strategy - </w:t>
      </w:r>
      <w:r>
        <w:rPr>
          <w:rFonts w:ascii="Times New Roman" w:cs="Times New Roman" w:eastAsia="Times New Roman" w:hAnsi="Times New Roman"/>
          <w:sz w:val="14"/>
          <w:szCs w:val="14"/>
          <w:color w:val="auto"/>
        </w:rPr>
        <w:t>Prior to the close of business on July 14, 2023, the Fund investment objective was to seek income. Effective at the close of business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July 14, 2023, the Fund’s primary investment objective is to generate current income, with a secondary objective to generate capital appreciation.</w:t>
      </w:r>
    </w:p>
    <w:p>
      <w:pPr>
        <w:spacing w:after="0" w:line="37" w:lineRule="exact"/>
        <w:rPr>
          <w:sz w:val="20"/>
          <w:szCs w:val="20"/>
          <w:color w:val="auto"/>
        </w:rPr>
      </w:pPr>
    </w:p>
    <w:p>
      <w:pPr>
        <w:ind w:left="600" w:right="320"/>
        <w:spacing w:after="0" w:line="264" w:lineRule="auto"/>
        <w:rPr>
          <w:sz w:val="20"/>
          <w:szCs w:val="20"/>
          <w:color w:val="auto"/>
        </w:rPr>
      </w:pPr>
      <w:r>
        <w:rPr>
          <w:rFonts w:ascii="Times New Roman" w:cs="Times New Roman" w:eastAsia="Times New Roman" w:hAnsi="Times New Roman"/>
          <w:sz w:val="14"/>
          <w:szCs w:val="14"/>
          <w:color w:val="auto"/>
        </w:rPr>
        <w:t xml:space="preserve">Prior to the close of business on July 14, 2023, the Fund’s principal investment strategy was to invest primarily in individual interest income-producing debt securities secured by residential real estate. Effective at the close of business on July 14, 2023, the Fund seeks to achieve its investment objectives by investing primarily in equity and junior debt tranches of collateralized loan obligations, or “CLOs,” that are collateralized by a portfolio consisting primarily of below investment grade U.S. senior secured loans with a large number of distinct underlying borrowers across various industry sectors. </w:t>
      </w:r>
      <w:r>
        <w:rPr>
          <w:rFonts w:ascii="Times New Roman" w:cs="Times New Roman" w:eastAsia="Times New Roman" w:hAnsi="Times New Roman"/>
          <w:sz w:val="14"/>
          <w:szCs w:val="14"/>
          <w:b w:val="1"/>
          <w:bCs w:val="1"/>
          <w:i w:val="1"/>
          <w:iCs w:val="1"/>
          <w:color w:val="auto"/>
        </w:rPr>
        <w:t>See Important Information About this Report and Carlyle Credit Income Fund - Investment Objectives and Strategies.</w:t>
      </w:r>
    </w:p>
    <w:p>
      <w:pPr>
        <w:spacing w:after="0" w:line="54" w:lineRule="exact"/>
        <w:rPr>
          <w:sz w:val="20"/>
          <w:szCs w:val="20"/>
          <w:color w:val="auto"/>
        </w:rPr>
      </w:pPr>
    </w:p>
    <w:p>
      <w:pPr>
        <w:ind w:left="220" w:right="80" w:hanging="220"/>
        <w:spacing w:after="0" w:line="260" w:lineRule="auto"/>
        <w:tabs>
          <w:tab w:leader="none" w:pos="2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Principal Risks </w:t>
      </w:r>
      <w:r>
        <w:rPr>
          <w:rFonts w:ascii="Times New Roman" w:cs="Times New Roman" w:eastAsia="Times New Roman" w:hAnsi="Times New Roman"/>
          <w:sz w:val="14"/>
          <w:szCs w:val="14"/>
          <w:color w:val="auto"/>
        </w:rPr>
        <w:t>- In connection with the changes to the Fund’s principal investment strategy, which went into effect as of the close of business on July 14, 2023, as described above, certain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associated with the Fund’s prior strategy and its policy to concentrate in investments in the mortgage-related industry—specifically, risks relating to investments in real estate—were no longer applicable to the Fund. In addition, concurrently with those changes to the Fund’s principal investment strategy, the Fund became subject to a series of other risk factors associated with its investments in CLOs. These risk factors, each of which is described in detail in the “Risk Factors” section of the notes to the Fund’s financial statements, include, among others, Risks of Investing in CLOs and Other Structured Debt Securities, Covenant-Lite Loans Risk, Subordinated Securities Risk, High Yield Investment Risk, Non-Diversification Risk, Leverage Risk, Inflation Risk, Transition from LIBOR Risk, Regulatory Risk, Credit Spread Risk, and Volatility Risk.</w:t>
      </w:r>
    </w:p>
    <w:p>
      <w:pPr>
        <w:spacing w:after="0" w:line="57" w:lineRule="exact"/>
        <w:rPr>
          <w:rFonts w:ascii="Times New Roman" w:cs="Times New Roman" w:eastAsia="Times New Roman" w:hAnsi="Times New Roman"/>
          <w:sz w:val="14"/>
          <w:szCs w:val="14"/>
          <w:color w:val="auto"/>
        </w:rPr>
      </w:pPr>
    </w:p>
    <w:p>
      <w:pPr>
        <w:ind w:left="220" w:right="460" w:hanging="220"/>
        <w:spacing w:after="0" w:line="290" w:lineRule="auto"/>
        <w:tabs>
          <w:tab w:leader="none" w:pos="21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Day-to-Day Management </w:t>
      </w:r>
      <w:r>
        <w:rPr>
          <w:rFonts w:ascii="Times New Roman" w:cs="Times New Roman" w:eastAsia="Times New Roman" w:hAnsi="Times New Roman"/>
          <w:sz w:val="14"/>
          <w:szCs w:val="14"/>
          <w:color w:val="auto"/>
        </w:rPr>
        <w:t>- Effective at the close of business on July 14, 2023, Lauren Basmadjian and Nishil Mehta now serve as the portfolio managers of the Fund. Below is biographical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relating to Ms. Basmadjian and Mr. Mehta:</w:t>
      </w:r>
    </w:p>
    <w:p>
      <w:pPr>
        <w:spacing w:after="0" w:line="37"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14"/>
          <w:szCs w:val="14"/>
          <w:color w:val="auto"/>
        </w:rPr>
        <w:t>Lauren Basmadjian has over 20 years of experience in financial and corporate markets. She is a Managing Director, Co-Head of Liquid Credit and Head of US Loans &amp; Structured Credit within The Carlyle Group Inc.’s Global Credit platform, overseeing over $48 billion of AUM. She is based in New York and sits on the Investment Committees for all of The Carlyle Group Inc.’s US Loan, CLO and Liquid and Illiquid Credit investing activities. Ms. Basmadjian joined The Carlyle Group Inc. in 2020 after 19 years at Octagon Credit Investors, LLC, where she was a Senior Portfolio Manager, member of the Investment Committee and managed XAI Octagon Floating Rate &amp; Alternative Income Term Trust, a public 1940 Act fund invested in CLO tranches and leveraged loans. Prior to becoming a Portfolio Manager, Ms. Basmadjian managed Octagon’s workout efforts and also oversaw the leisure &amp; entertainment, retail, consumer products, business services, food &amp; beverage and technology industries. Before joining Octagon, Ms. Basmadjian worked in the Acquisition Finance Group at Chase Securities, Inc. She graduated Cum Laude from the Stern School of Business at New York University with a B.S. in Finance and Economics.</w:t>
      </w:r>
    </w:p>
    <w:p>
      <w:pPr>
        <w:spacing w:after="0" w:line="62"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4"/>
          <w:szCs w:val="14"/>
          <w:color w:val="auto"/>
        </w:rPr>
        <w:t>Nishil Mehta is a Managing Director leading the firm’s structured credit investments. He is based in New York. Prior to joining Carlyle, Nishil was a Managing Director at First Eagle where he was the co-portfolio manager for the firm’s structured credit investments. Prior to joining First Eagle, Nishil was a Managing Director at Prospect Capital where he was responsible for the firm’s $2.5 billion of investments in CLO mezzanine debt and CLO equity and served as portfolio manager to Priority Income Fund, Inc., a closed-ended management investment company that primarily invests in the equity tranche of CLOs. He was also the Head of Capital Markets spearheading over $8 billion of debt and equity capital raised for the firm’s 1940 Act funds. Earlier in his career, Nishil worked at CIT Asset Management and Wachovia Securities. Mr. Mehta received his BBA from Goizueta Business School at Emory University with honors.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v.  </w:t>
      </w:r>
      <w:r>
        <w:rPr>
          <w:rFonts w:ascii="Times New Roman" w:cs="Times New Roman" w:eastAsia="Times New Roman" w:hAnsi="Times New Roman"/>
          <w:sz w:val="14"/>
          <w:szCs w:val="14"/>
          <w:i w:val="1"/>
          <w:iCs w:val="1"/>
          <w:color w:val="auto"/>
        </w:rPr>
        <w:t>Charter or By Laws</w:t>
      </w:r>
      <w:r>
        <w:rPr>
          <w:rFonts w:ascii="Times New Roman" w:cs="Times New Roman" w:eastAsia="Times New Roman" w:hAnsi="Times New Roman"/>
          <w:sz w:val="14"/>
          <w:szCs w:val="14"/>
          <w:color w:val="auto"/>
        </w:rPr>
        <w:t xml:space="preserve"> - There have been no changes to the Fund’s charter or by-laws that would delay or prevent a change of control of the Fund that have not been approved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20" w:top="72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Investment Objectives and Strategies</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Fund is a non-diversified, closed-end management investment company that has registered as an investment company under the 1940 Act. We have elected to be treated, and intend to qualify annually, as a regulated investment company, or “RIC,” under Subchapter M of the Internal Revenue Code of 1986, as amended, or the “Code.”</w:t>
      </w:r>
    </w:p>
    <w:p>
      <w:pPr>
        <w:spacing w:after="0" w:line="3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4"/>
          <w:szCs w:val="14"/>
          <w:color w:val="auto"/>
        </w:rPr>
        <w:t>The Fund’s primary investment objective is to generate current income, with a secondary objective to generate capital appreciation. We seek to achieve our investment objectives by investing primarily in equity and junior debt tranches of collateralized loan obligations, or “CLOs,” that are collateralized by a portfolio consisting primarily of below investment grade U.S. senior secured loans with a large number of distinct underlying borrowers across various industry sectors. We may also invest in other related securities and instruments or other securities and instruments that the Adviser believes are consistent with our investment objectives, including senior debt tranches of CLOs, loan accumulation facilities (“LAFs”) and securities issued by other securitization vehicles, such as collateralized bond obligations, or “CBOs.” LAFs are short- to medium-term facilities often provided by the bank that will serve as the placement agent or arranger on a CLO transaction. LAFs typically incur leverage between four and six times equity value prior to a CLO’s pricing. The CLO securities in which we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junior debt securities in which we invest are highly leveraged (with CLO equity securities typically being leveraged ten times), which magnifies our risk of loss on such investments.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“Names Rule” Policy</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accordance with the requirements of the 1940 Act, we have adopted a policy to invest at least 80% of our assets in the particular type of investments suggested by our name. Accordingly, under normal circumstances, we invest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 rate and fixed rate loans; (iii) investments in corporate debt obligations, including bonds, notes, debentures, commercial paper and other obligations of corporations to pay interest and repay principal; (iv) debt issued by governments, their agencies, instrumentalities, and central banks; (v) commercial paper and short-term notes; (vi) convertible debt securities; (vii) certificates of deposit, bankers’ acceptances and time deposits; and (viii) other credit-related instruments. The Fund’s investments in derivatives, other investment companies, and other instruments designed to obtain indirect exposure to credit and credit-related instruments will be counted towards its 80% investment policy to the extent such instruments have similar economic characteristics to the investments included within that policy.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80% policy with respect to investments in credit and credit-related instruments is not fundamental and may be changed by the Board without prior approval of our shareholders.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will be provided with sixty (60) days notice in the manner prescribed by the SEC before making any change to this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Restrictions</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Fund’s stated fundamental policies, which may only be changed by the affirmative vote of a majority of the outstanding voting securities of the Fund (the shares), are listed below.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spacing w:after="0" w:line="51" w:lineRule="exact"/>
        <w:rPr>
          <w:sz w:val="20"/>
          <w:szCs w:val="20"/>
          <w:color w:val="auto"/>
        </w:rPr>
      </w:pPr>
    </w:p>
    <w:p>
      <w:pPr>
        <w:ind w:left="5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 money, except to the extent permitted by the 1940 Act (which currently limits borrowing to no more than 33-1/3% of the value of the Fund’s total assets, including the value of the assets purchased with the proceeds of its indebtedness, if any). The Fund may borrow for investment purposes, for temporary liquidity, or to finance repurchases of its shares.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senior securities, except to the extent permitted by Section 18 of the 1940 Act (which currently limits the issuance of a class of senior securities that is indebtedness to no more than 33-1/3% of the value of the Fund’s total assets or, if the class of senior security is stock, to no more than 50% of the value of the Fund’s total assets).</w:t>
      </w:r>
    </w:p>
    <w:p>
      <w:pPr>
        <w:spacing w:after="0" w:line="39" w:lineRule="exact"/>
        <w:rPr>
          <w:rFonts w:ascii="Times New Roman" w:cs="Times New Roman" w:eastAsia="Times New Roman" w:hAnsi="Times New Roman"/>
          <w:sz w:val="14"/>
          <w:szCs w:val="14"/>
          <w:color w:val="auto"/>
        </w:rPr>
      </w:pPr>
    </w:p>
    <w:p>
      <w:pPr>
        <w:jc w:val="both"/>
        <w:ind w:left="520" w:right="160" w:hanging="260"/>
        <w:spacing w:after="0" w:line="270"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Underwrite securities of other issuers, except insofar as the Fund may be deemed an underwriter under the Securities Act of 1933, as amended (the “Securities Act”) in connection with the disposition of its portfolio securities. The Fund may invest in restricted securities (those that must be registered under the Securities Act before they may be offered or sold to the public) to the extent permitted by the 1940 Act.</w:t>
      </w:r>
    </w:p>
    <w:p>
      <w:pPr>
        <w:spacing w:after="0" w:line="50"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more than 25% of the market value of its assets in the securities of companies, entities or issuers engaged in any one industry. This limitation does not apply to investment in the securities of the U.S. Government, its agencies or instrumentalities. For purposes of this restriction, an investment in a CLO, CBO, collateralized debt obligation, 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4"/>
          <w:szCs w:val="14"/>
          <w:color w:val="auto"/>
        </w:rPr>
        <w:t>“CDO” or a swap or other derivative will be considered to be an investment in the industry (if any) of the underlying or reference security, instrument or asset.</w:t>
      </w:r>
    </w:p>
    <w:p>
      <w:pPr>
        <w:spacing w:after="0" w:line="94" w:lineRule="exact"/>
        <w:rPr>
          <w:sz w:val="20"/>
          <w:szCs w:val="20"/>
          <w:color w:val="auto"/>
        </w:rPr>
      </w:pPr>
    </w:p>
    <w:p>
      <w:pPr>
        <w:ind w:left="520" w:right="60" w:hanging="260"/>
        <w:spacing w:after="0" w:line="264"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p>
      <w:pPr>
        <w:spacing w:after="0" w:line="55" w:lineRule="exact"/>
        <w:rPr>
          <w:rFonts w:ascii="Times New Roman" w:cs="Times New Roman" w:eastAsia="Times New Roman" w:hAnsi="Times New Roman"/>
          <w:sz w:val="14"/>
          <w:szCs w:val="14"/>
          <w:color w:val="auto"/>
        </w:rPr>
      </w:pPr>
    </w:p>
    <w:p>
      <w:pPr>
        <w:ind w:left="520" w:right="120" w:hanging="260"/>
        <w:spacing w:after="0" w:line="270"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p>
      <w:pPr>
        <w:spacing w:after="0" w:line="50" w:lineRule="exact"/>
        <w:rPr>
          <w:rFonts w:ascii="Times New Roman" w:cs="Times New Roman" w:eastAsia="Times New Roman" w:hAnsi="Times New Roman"/>
          <w:sz w:val="14"/>
          <w:szCs w:val="14"/>
          <w:color w:val="auto"/>
        </w:rPr>
      </w:pPr>
    </w:p>
    <w:p>
      <w:pPr>
        <w:ind w:left="520" w:right="180" w:hanging="260"/>
        <w:spacing w:after="0" w:line="270"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to others, except (a) through the purchase of debt securities in accordance with its investment objectives and policies, including notes secured by real estate, which may be considered loans; (b) to the extent the entry into a repurchase agreement is deemed to be a loan; and (c) by loaning portfolio securities. Additionally, the preceding limitation on loans does not preclude the Fund from modifying note terms.</w:t>
      </w:r>
    </w:p>
    <w:p>
      <w:pPr>
        <w:spacing w:after="0" w:line="50"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will treat with respect to participation interests both the financial intermediary and the borrower as “issuers” for purposes of fundamental investment restriction.</w:t>
      </w:r>
    </w:p>
    <w:p>
      <w:pPr>
        <w:spacing w:after="0" w:line="9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r>
        <w:rPr>
          <w:rFonts w:ascii="Arial" w:cs="Arial" w:eastAsia="Arial" w:hAnsi="Arial"/>
          <w:sz w:val="11"/>
          <w:szCs w:val="1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Leverage and Leverage Risks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use of leverage, whether directly or indirectly through investments such as CLO equity or junior debt securities that inherently involve leverage, may magnify our risk of loss. CLO equity or junior debt securities are very highly leveraged (with CLO equity securities typically being leveraged ten times), and therefore the CLO securities in which we invest are subject to a higher degree of loss since the use of leverage magnifies losses.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We may incur leverage, directly or indirectly, through one or more special purpose vehicles (entities primarily engaged in investment activities in securities or other assets that are wholly owned by the Fund), indebtedness for borrowed money, as well as leverage in the form of Derivative Transactions, preferred shares, debt securities and other structures and instruments, in significant amounts and on terms that the Adviser and the Board deem appropriate, subject to applicable limitations under the 1940 Act. Such leverage may be used for the acquisition and financing of our investments, to pay fees and expenses and for other purposes. Such leverage may be secured and/or unsecured. Any such leverage does not include leverage embedded or inherent in the CLO structures in which we invest or in derivative instruments in which we may invest. Accordingly, there is a layering of leverage in our overall structure.</w:t>
      </w:r>
    </w:p>
    <w:p>
      <w:pPr>
        <w:spacing w:after="0" w:line="5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more leverage we employ, the more likely a substantial change will occur in our NAV. Accordingly, any event that adversely affects the value of an investment would be magnified to the extent leverage is utilized. For instance, any decrease in our income would cause net income to decline more sharply than it would have had we not borrowed. Such a decline could also negatively affect our ability to make distributions and other payments to our security holders. Leverage is generally considered a speculative investment technique. Our ability to service any debt that we incur will depend largely on our financial performance and will be subject to prevailing economic conditions and competitive pressures. The cumulative effect of the use of leverage with respect to any investments in a market that moves adversely to such investments could result in a substantial loss that would be greater than if our investments were not leveraged.</w:t>
      </w:r>
    </w:p>
    <w:p>
      <w:pPr>
        <w:spacing w:after="0" w:line="58"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are required to meet certain asset coverage requirements, as defined under the 1940 Act, with respect to any senior securities. With respect to senior securities representing indebtedness (i.e., borrowings or deemed borrowings, including any notes), other than temporary borrowings as defined under the 1940 Act, we are required under current law to have an asset coverage of at least 300%, as measured at the time of borrowing and calculated as the ratio of our total assets (less all liabilities and indebtedness not represented by senior securities)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 w:name="page10"/>
    <w:bookmarkEnd w:id="9"/>
    <w:p>
      <w:pPr>
        <w:ind w:right="60"/>
        <w:spacing w:after="0" w:line="261" w:lineRule="auto"/>
        <w:rPr>
          <w:sz w:val="20"/>
          <w:szCs w:val="20"/>
          <w:color w:val="auto"/>
        </w:rPr>
      </w:pPr>
      <w:r>
        <w:rPr>
          <w:rFonts w:ascii="Times New Roman" w:cs="Times New Roman" w:eastAsia="Times New Roman" w:hAnsi="Times New Roman"/>
          <w:sz w:val="14"/>
          <w:szCs w:val="14"/>
          <w:color w:val="auto"/>
        </w:rPr>
        <w:t>over the aggregate amount of our outstanding senior securities representing indebtedness. With respect to senior securities that are stock (i.e., our preferred shares), we are required under current law to have an asset coverage of at least 200%, as measured at the time of the issuance of any such preferred shares and calculated as the ratio of our total assets (less all liabilities and indebtedness not represented by senior securities) over the aggregate amount of our outstanding senior securities representing indebtedness plus the aggregate liquidation preference of any outstanding preferred shares. If legislation were passed that modifies this section of the 1940 Act and increases the amount of senior securities that we may incur, we may increase our leverage to the extent then permitted by the 1940 Act and the risks associated with an investment in us may increase.</w:t>
      </w:r>
    </w:p>
    <w:p>
      <w:pPr>
        <w:spacing w:after="0" w:line="5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If our asset coverage declines below 300% (or 200%, as applicable), we would not be able to incur additional debt or issue additional preferred shares, and could be required by law to sell a portion of our investments to repay some debt or redeem preferred shares when it is disadvantageous to do so, which could have a material adverse effect on our operations, and we may not be able to make certain distributions or pay dividends of an amount necessary to continue to be subject to tax as a RIC. The amount of leverage that we employ will depend on the Adviser’s and the Board’s assessment of market and other factors at the time of any proposed borrowing. We cannot assure you that we will be able to obtain credit at all or on terms acceptable to us.</w:t>
      </w:r>
    </w:p>
    <w:p>
      <w:pPr>
        <w:spacing w:after="0" w:line="5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ability to be subject to tax as a RIC under Subchapter M of the Code.</w:t>
      </w:r>
    </w:p>
    <w:p>
      <w:pPr>
        <w:spacing w:after="0" w:line="3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following table illustrates the effects of the Fund’s leverage due to senior securities on corresponding share total return, assuming investment portfolio total returns (consisting of income and changes in the value of investments held in the Fund’s portfolio) of -10%, -5%, 0%, 5% and 10%. These assumed investment portfolio returns are hypothetical figures and are not necessarily indicative of the investment portfolio returns expected to be experienced by the Fund. Your actual returns may be greater or less than those appearing below. The table further assumes that we incur leverage representing 25% of our total assets and a projected annual rate of interest on the borrowings of 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Return on Portfolio (Net of Expenses)</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(10.</w:t>
            </w:r>
            <w:r>
              <w:rPr>
                <w:rFonts w:ascii="Times New Roman" w:cs="Times New Roman" w:eastAsia="Times New Roman" w:hAnsi="Times New Roman"/>
                <w:sz w:val="13"/>
                <w:szCs w:val="13"/>
                <w:u w:val="single" w:color="auto"/>
                <w:color w:val="auto"/>
              </w:rPr>
              <w:t>00)%</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(5.</w:t>
            </w:r>
            <w:r>
              <w:rPr>
                <w:rFonts w:ascii="Times New Roman" w:cs="Times New Roman" w:eastAsia="Times New Roman" w:hAnsi="Times New Roman"/>
                <w:sz w:val="13"/>
                <w:szCs w:val="13"/>
                <w:u w:val="single" w:color="auto"/>
                <w:color w:val="auto"/>
              </w:rPr>
              <w:t>00)%</w:t>
            </w:r>
          </w:p>
        </w:tc>
        <w:tc>
          <w:tcPr>
            <w:tcW w:w="440" w:type="dxa"/>
            <w:vAlign w:val="bottom"/>
          </w:tcPr>
          <w:p>
            <w:pPr>
              <w:spacing w:after="0"/>
              <w:rPr>
                <w:sz w:val="12"/>
                <w:szCs w:val="12"/>
                <w:color w:val="auto"/>
              </w:rPr>
            </w:pPr>
          </w:p>
        </w:tc>
        <w:tc>
          <w:tcPr>
            <w:tcW w:w="860" w:type="dxa"/>
            <w:vAlign w:val="bottom"/>
            <w:gridSpan w:val="4"/>
          </w:tcPr>
          <w:p>
            <w:pPr>
              <w:jc w:val="center"/>
              <w:ind w:right="46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3"/>
          </w:tcPr>
          <w:p>
            <w:pPr>
              <w:jc w:val="right"/>
              <w:ind w:right="920"/>
              <w:spacing w:after="0"/>
              <w:rPr>
                <w:sz w:val="20"/>
                <w:szCs w:val="20"/>
                <w:color w:val="auto"/>
              </w:rPr>
            </w:pPr>
            <w:r>
              <w:rPr>
                <w:rFonts w:ascii="Times New Roman" w:cs="Times New Roman" w:eastAsia="Times New Roman" w:hAnsi="Times New Roman"/>
                <w:sz w:val="13"/>
                <w:szCs w:val="13"/>
                <w:color w:val="auto"/>
              </w:rPr>
              <w:t>5.</w:t>
            </w:r>
            <w:r>
              <w:rPr>
                <w:rFonts w:ascii="Times New Roman" w:cs="Times New Roman" w:eastAsia="Times New Roman" w:hAnsi="Times New Roman"/>
                <w:sz w:val="13"/>
                <w:szCs w:val="13"/>
                <w:u w:val="single" w:color="auto"/>
                <w:color w:val="auto"/>
              </w:rPr>
              <w:t>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w w:val="89"/>
              </w:rPr>
              <w:t>10.</w:t>
            </w:r>
            <w:r>
              <w:rPr>
                <w:rFonts w:ascii="Times New Roman" w:cs="Times New Roman" w:eastAsia="Times New Roman" w:hAnsi="Times New Roman"/>
                <w:sz w:val="13"/>
                <w:szCs w:val="13"/>
                <w:u w:val="single" w:color="auto"/>
                <w:color w:val="auto"/>
                <w:w w:val="89"/>
              </w:rPr>
              <w:t>00%</w:t>
            </w:r>
          </w:p>
        </w:tc>
      </w:tr>
      <w:tr>
        <w:trPr>
          <w:trHeight w:val="26"/>
        </w:trPr>
        <w:tc>
          <w:tcPr>
            <w:tcW w:w="20" w:type="dxa"/>
            <w:vAlign w:val="bottom"/>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Corresponding Share Total Return</w:t>
            </w:r>
          </w:p>
        </w:tc>
        <w:tc>
          <w:tcPr>
            <w:tcW w:w="920" w:type="dxa"/>
            <w:vAlign w:val="bottom"/>
            <w:shd w:val="clear" w:color="auto" w:fill="CCEEFF"/>
          </w:tcPr>
          <w:p>
            <w:pPr>
              <w:spacing w:after="0"/>
              <w:rPr>
                <w:sz w:val="12"/>
                <w:szCs w:val="12"/>
                <w:color w:val="auto"/>
              </w:rPr>
            </w:pPr>
          </w:p>
        </w:tc>
        <w:tc>
          <w:tcPr>
            <w:tcW w:w="1820" w:type="dxa"/>
            <w:vAlign w:val="bottom"/>
            <w:gridSpan w:val="3"/>
            <w:shd w:val="clear" w:color="auto" w:fill="CCEEFF"/>
          </w:tcPr>
          <w:p>
            <w:pPr>
              <w:jc w:val="right"/>
              <w:ind w:right="420"/>
              <w:spacing w:after="0" w:line="144" w:lineRule="exact"/>
              <w:rPr>
                <w:sz w:val="20"/>
                <w:szCs w:val="20"/>
                <w:color w:val="auto"/>
              </w:rPr>
            </w:pPr>
            <w:r>
              <w:rPr>
                <w:rFonts w:ascii="Times New Roman" w:cs="Times New Roman" w:eastAsia="Times New Roman" w:hAnsi="Times New Roman"/>
                <w:sz w:val="13"/>
                <w:szCs w:val="13"/>
                <w:color w:val="auto"/>
              </w:rPr>
              <w:t>(16.</w:t>
            </w:r>
            <w:r>
              <w:rPr>
                <w:rFonts w:ascii="Times New Roman" w:cs="Times New Roman" w:eastAsia="Times New Roman" w:hAnsi="Times New Roman"/>
                <w:sz w:val="13"/>
                <w:szCs w:val="13"/>
                <w:u w:val="single" w:color="auto"/>
                <w:color w:val="auto"/>
              </w:rPr>
              <w:t>00)%</w:t>
            </w:r>
          </w:p>
        </w:tc>
        <w:tc>
          <w:tcPr>
            <w:tcW w:w="1280" w:type="dxa"/>
            <w:vAlign w:val="bottom"/>
            <w:gridSpan w:val="3"/>
            <w:shd w:val="clear" w:color="auto" w:fill="CCEEFF"/>
          </w:tcPr>
          <w:p>
            <w:pPr>
              <w:jc w:val="right"/>
              <w:ind w:right="440"/>
              <w:spacing w:after="0" w:line="144" w:lineRule="exact"/>
              <w:rPr>
                <w:sz w:val="20"/>
                <w:szCs w:val="20"/>
                <w:color w:val="auto"/>
              </w:rPr>
            </w:pPr>
            <w:r>
              <w:rPr>
                <w:rFonts w:ascii="Times New Roman" w:cs="Times New Roman" w:eastAsia="Times New Roman" w:hAnsi="Times New Roman"/>
                <w:sz w:val="13"/>
                <w:szCs w:val="13"/>
                <w:color w:val="auto"/>
              </w:rPr>
              <w:t>(9.</w:t>
            </w:r>
            <w:r>
              <w:rPr>
                <w:rFonts w:ascii="Times New Roman" w:cs="Times New Roman" w:eastAsia="Times New Roman" w:hAnsi="Times New Roman"/>
                <w:sz w:val="13"/>
                <w:szCs w:val="13"/>
                <w:u w:val="single" w:color="auto"/>
                <w:color w:val="auto"/>
              </w:rPr>
              <w:t>00)%</w:t>
            </w:r>
          </w:p>
        </w:tc>
        <w:tc>
          <w:tcPr>
            <w:tcW w:w="1300" w:type="dxa"/>
            <w:vAlign w:val="bottom"/>
            <w:gridSpan w:val="5"/>
            <w:shd w:val="clear" w:color="auto" w:fill="CCEEFF"/>
          </w:tcPr>
          <w:p>
            <w:pPr>
              <w:jc w:val="center"/>
              <w:ind w:right="440"/>
              <w:spacing w:after="0" w:line="144" w:lineRule="exact"/>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67)%</w:t>
            </w:r>
          </w:p>
        </w:tc>
        <w:tc>
          <w:tcPr>
            <w:tcW w:w="1680" w:type="dxa"/>
            <w:vAlign w:val="bottom"/>
            <w:gridSpan w:val="3"/>
            <w:shd w:val="clear" w:color="auto" w:fill="CCEEFF"/>
          </w:tcPr>
          <w:p>
            <w:pPr>
              <w:jc w:val="right"/>
              <w:ind w:right="920"/>
              <w:spacing w:after="0" w:line="144" w:lineRule="exact"/>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u w:val="single" w:color="auto"/>
                <w:color w:val="auto"/>
              </w:rPr>
              <w:t>00%</w:t>
            </w:r>
          </w:p>
        </w:tc>
        <w:tc>
          <w:tcPr>
            <w:tcW w:w="820" w:type="dxa"/>
            <w:vAlign w:val="bottom"/>
            <w:gridSpan w:val="2"/>
            <w:shd w:val="clear" w:color="auto" w:fill="CCEEFF"/>
          </w:tcPr>
          <w:p>
            <w:pPr>
              <w:jc w:val="right"/>
              <w:ind w:right="440"/>
              <w:spacing w:after="0" w:line="144" w:lineRule="exact"/>
              <w:rPr>
                <w:sz w:val="20"/>
                <w:szCs w:val="20"/>
                <w:color w:val="auto"/>
              </w:rPr>
            </w:pPr>
            <w:r>
              <w:rPr>
                <w:rFonts w:ascii="Times New Roman" w:cs="Times New Roman" w:eastAsia="Times New Roman" w:hAnsi="Times New Roman"/>
                <w:sz w:val="13"/>
                <w:szCs w:val="13"/>
                <w:color w:val="auto"/>
                <w:w w:val="89"/>
              </w:rPr>
              <w:t>10.</w:t>
            </w:r>
            <w:r>
              <w:rPr>
                <w:rFonts w:ascii="Times New Roman" w:cs="Times New Roman" w:eastAsia="Times New Roman" w:hAnsi="Times New Roman"/>
                <w:sz w:val="13"/>
                <w:szCs w:val="13"/>
                <w:u w:val="single" w:color="auto"/>
                <w:color w:val="auto"/>
                <w:w w:val="89"/>
              </w:rPr>
              <w:t>67%</w:t>
            </w:r>
          </w:p>
        </w:tc>
      </w:tr>
      <w:tr>
        <w:trPr>
          <w:trHeight w:val="32"/>
        </w:trPr>
        <w:tc>
          <w:tcPr>
            <w:tcW w:w="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Risk Factors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a description of the principal risk factors associated with an investment in the Fund, please refer to Note 5.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to the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Information</w:t>
      </w:r>
    </w:p>
    <w:p>
      <w:pPr>
        <w:spacing w:after="0" w:line="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file with or submit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we file with the SEC at www.sec.gov. This information is also available free of charge on our website (www.carlylecreditincomefund.com) or by calling (866) 277-8243 (toll-free).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Forward Looking Statements</w:t>
      </w:r>
    </w:p>
    <w:p>
      <w:pPr>
        <w:spacing w:after="0" w:line="96"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Company undertakes no duty to update any forward-looking statement made herein. All forward-looking statements speak only as of the date of this report.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PERFORMANCE DATA</w:t>
      </w:r>
    </w:p>
    <w:p>
      <w:pPr>
        <w:spacing w:after="0" w:line="85" w:lineRule="exact"/>
        <w:rPr>
          <w:sz w:val="20"/>
          <w:szCs w:val="20"/>
          <w:color w:val="auto"/>
        </w:rPr>
      </w:pPr>
    </w:p>
    <w:p>
      <w:pPr>
        <w:jc w:val="both"/>
        <w:ind w:right="20" w:firstLine="509"/>
        <w:spacing w:after="0" w:line="245" w:lineRule="auto"/>
        <w:rPr>
          <w:sz w:val="20"/>
          <w:szCs w:val="20"/>
          <w:color w:val="auto"/>
        </w:rPr>
      </w:pPr>
      <w:r>
        <w:rPr>
          <w:rFonts w:ascii="Times New Roman" w:cs="Times New Roman" w:eastAsia="Times New Roman" w:hAnsi="Times New Roman"/>
          <w:sz w:val="14"/>
          <w:szCs w:val="14"/>
          <w:color w:val="auto"/>
        </w:rPr>
        <w:t>The graph presented below compares the cumulative shareholder return on our common shares with that of the S&amp;P BDC Index and the Bloomberg Mortgage Backed Securities Index. Prior to the close of business on July 14, 2023, the Fund’s principal investment strategy was to invest primarily in individual interest income-producing debt securities secured by residential real estate. The Bloomberg Mortgage Backed Securities Index is an unmanaged index composed of securities backed by U.S. government agency guaranteed mortgage pools of Ginnie Mae, Freddie Mac, and Fannie Mae. Effective at the close of business on July 14, 2023, the Fund seeks to achieve its investment objectives by investing primarily in equity and junior debt tranches of collateralized loan obligations, or “CLOs.” The Fund believes the S&amp;P BDC Index is the most appropriate and relevant index for comparative purposes for this investment strategy.</w:t>
      </w:r>
    </w:p>
    <w:p>
      <w:pPr>
        <w:spacing w:after="0" w:line="59"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graph assumes an investment of $10,000 in the Fund dating back 10 years. The calculation is made using NAV until the initial Market Price on May 30, 2019. Total return is calculated assuming reinvestment of all dividends and distributions.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Past performance is not indicative of future results or a guarantee of future returns. Future results may vary and may be higher or lower than the data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419100</wp:posOffset>
            </wp:positionV>
            <wp:extent cx="3880485" cy="2297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8048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restart"/>
          </w:tcPr>
          <w:p>
            <w:pPr>
              <w:spacing w:after="0"/>
              <w:rPr>
                <w:sz w:val="15"/>
                <w:szCs w:val="15"/>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Annualized Total Return</w:t>
            </w:r>
          </w:p>
        </w:tc>
        <w:tc>
          <w:tcPr>
            <w:tcW w:w="66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Cumulative 10 Year</w:t>
            </w: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1 Year</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3"/>
          </w:tcPr>
          <w:p>
            <w:pPr>
              <w:ind w:left="60"/>
              <w:spacing w:after="0" w:line="98" w:lineRule="exact"/>
              <w:rPr>
                <w:sz w:val="20"/>
                <w:szCs w:val="20"/>
                <w:color w:val="auto"/>
              </w:rPr>
            </w:pPr>
            <w:r>
              <w:rPr>
                <w:rFonts w:ascii="Times New Roman" w:cs="Times New Roman" w:eastAsia="Times New Roman" w:hAnsi="Times New Roman"/>
                <w:sz w:val="11"/>
                <w:szCs w:val="11"/>
                <w:b w:val="1"/>
                <w:bCs w:val="1"/>
                <w:color w:val="auto"/>
              </w:rPr>
              <w:t>3 Year</w:t>
            </w:r>
          </w:p>
        </w:tc>
        <w:tc>
          <w:tcPr>
            <w:tcW w:w="300" w:type="dxa"/>
            <w:vAlign w:val="bottom"/>
          </w:tcPr>
          <w:p>
            <w:pPr>
              <w:spacing w:after="0"/>
              <w:rPr>
                <w:sz w:val="10"/>
                <w:szCs w:val="10"/>
                <w:color w:val="auto"/>
              </w:rPr>
            </w:pPr>
          </w:p>
        </w:tc>
        <w:tc>
          <w:tcPr>
            <w:tcW w:w="1100" w:type="dxa"/>
            <w:vAlign w:val="bottom"/>
            <w:gridSpan w:val="3"/>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5 Year</w:t>
            </w:r>
          </w:p>
        </w:tc>
        <w:tc>
          <w:tcPr>
            <w:tcW w:w="900" w:type="dxa"/>
            <w:vAlign w:val="bottom"/>
            <w:gridSpan w:val="2"/>
          </w:tcPr>
          <w:p>
            <w:pPr>
              <w:jc w:val="center"/>
              <w:ind w:right="440"/>
              <w:spacing w:after="0" w:line="98" w:lineRule="exact"/>
              <w:rPr>
                <w:sz w:val="20"/>
                <w:szCs w:val="20"/>
                <w:color w:val="auto"/>
              </w:rPr>
            </w:pPr>
            <w:r>
              <w:rPr>
                <w:rFonts w:ascii="Times New Roman" w:cs="Times New Roman" w:eastAsia="Times New Roman" w:hAnsi="Times New Roman"/>
                <w:sz w:val="11"/>
                <w:szCs w:val="11"/>
                <w:b w:val="1"/>
                <w:bCs w:val="1"/>
                <w:color w:val="auto"/>
              </w:rPr>
              <w:t>10 Year</w:t>
            </w:r>
          </w:p>
        </w:tc>
        <w:tc>
          <w:tcPr>
            <w:tcW w:w="1200" w:type="dxa"/>
            <w:vAlign w:val="bottom"/>
            <w:tcBorders>
              <w:top w:val="single" w:sz="8" w:color="auto"/>
            </w:tcBorders>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Total Return</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Carlyle Credit Income Fund</w:t>
            </w:r>
          </w:p>
        </w:tc>
        <w:tc>
          <w:tcPr>
            <w:tcW w:w="194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12.67%</w:t>
            </w:r>
          </w:p>
        </w:tc>
        <w:tc>
          <w:tcPr>
            <w:tcW w:w="760" w:type="dxa"/>
            <w:vAlign w:val="bottom"/>
            <w:gridSpan w:val="3"/>
          </w:tcPr>
          <w:p>
            <w:pPr>
              <w:jc w:val="center"/>
              <w:ind w:left="329"/>
              <w:spacing w:after="0"/>
              <w:rPr>
                <w:sz w:val="20"/>
                <w:szCs w:val="20"/>
                <w:color w:val="auto"/>
              </w:rPr>
            </w:pPr>
            <w:r>
              <w:rPr>
                <w:rFonts w:ascii="Times New Roman" w:cs="Times New Roman" w:eastAsia="Times New Roman" w:hAnsi="Times New Roman"/>
                <w:sz w:val="14"/>
                <w:szCs w:val="14"/>
                <w:color w:val="auto"/>
                <w:w w:val="99"/>
              </w:rPr>
              <w:t>7.66%</w:t>
            </w:r>
          </w:p>
        </w:tc>
        <w:tc>
          <w:tcPr>
            <w:tcW w:w="3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440" w:type="dxa"/>
            <w:vAlign w:val="bottom"/>
          </w:tcPr>
          <w:p>
            <w:pPr>
              <w:spacing w:after="0"/>
              <w:rPr>
                <w:sz w:val="17"/>
                <w:szCs w:val="17"/>
                <w:color w:val="auto"/>
              </w:rPr>
            </w:pPr>
          </w:p>
        </w:tc>
        <w:tc>
          <w:tcPr>
            <w:tcW w:w="98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rPr>
              <w:t>62.18%</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S&amp;P BDC Index</w:t>
            </w:r>
          </w:p>
        </w:tc>
        <w:tc>
          <w:tcPr>
            <w:tcW w:w="194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color w:val="auto"/>
              </w:rPr>
              <w:t>34.41%</w:t>
            </w:r>
          </w:p>
        </w:tc>
        <w:tc>
          <w:tcPr>
            <w:tcW w:w="1080" w:type="dxa"/>
            <w:vAlign w:val="bottom"/>
            <w:gridSpan w:val="4"/>
          </w:tcPr>
          <w:p>
            <w:pPr>
              <w:jc w:val="center"/>
              <w:ind w:left="9"/>
              <w:spacing w:after="0"/>
              <w:rPr>
                <w:sz w:val="20"/>
                <w:szCs w:val="20"/>
                <w:color w:val="auto"/>
              </w:rPr>
            </w:pPr>
            <w:r>
              <w:rPr>
                <w:rFonts w:ascii="Times New Roman" w:cs="Times New Roman" w:eastAsia="Times New Roman" w:hAnsi="Times New Roman"/>
                <w:sz w:val="14"/>
                <w:szCs w:val="14"/>
                <w:color w:val="auto"/>
              </w:rPr>
              <w:t>20.89%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6.71%</w:t>
            </w:r>
          </w:p>
        </w:tc>
        <w:tc>
          <w:tcPr>
            <w:tcW w:w="440" w:type="dxa"/>
            <w:vAlign w:val="bottom"/>
          </w:tcPr>
          <w:p>
            <w:pPr>
              <w:spacing w:after="0"/>
              <w:rPr>
                <w:sz w:val="15"/>
                <w:szCs w:val="15"/>
                <w:color w:val="auto"/>
              </w:rPr>
            </w:pPr>
          </w:p>
        </w:tc>
        <w:tc>
          <w:tcPr>
            <w:tcW w:w="98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rPr>
              <w:t>99.07%</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Bloomberg Mortgage Backed Securities Index</w:t>
            </w:r>
          </w:p>
        </w:tc>
        <w:tc>
          <w:tcPr>
            <w:tcW w:w="194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rPr>
              <w:t>(0.17)%</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(5.09)%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66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0.61%</w:t>
            </w:r>
          </w:p>
        </w:tc>
        <w:tc>
          <w:tcPr>
            <w:tcW w:w="440" w:type="dxa"/>
            <w:vAlign w:val="bottom"/>
          </w:tcPr>
          <w:p>
            <w:pPr>
              <w:spacing w:after="0"/>
              <w:rPr>
                <w:sz w:val="16"/>
                <w:szCs w:val="16"/>
                <w:color w:val="auto"/>
              </w:rPr>
            </w:pPr>
          </w:p>
        </w:tc>
        <w:tc>
          <w:tcPr>
            <w:tcW w:w="98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w w:val="99"/>
              </w:rPr>
              <w:t>7.81%</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4"/>
        </w:trPr>
        <w:tc>
          <w:tcPr>
            <w:tcW w:w="4260" w:type="dxa"/>
            <w:vAlign w:val="bottom"/>
          </w:tcPr>
          <w:p>
            <w:pPr>
              <w:spacing w:after="0"/>
              <w:rPr>
                <w:sz w:val="24"/>
                <w:szCs w:val="24"/>
                <w:color w:val="auto"/>
              </w:rPr>
            </w:pPr>
          </w:p>
        </w:tc>
        <w:tc>
          <w:tcPr>
            <w:tcW w:w="1580" w:type="dxa"/>
            <w:vAlign w:val="bottom"/>
            <w:gridSpan w:val="2"/>
          </w:tcPr>
          <w:p>
            <w:pPr>
              <w:jc w:val="center"/>
              <w:ind w:left="1109"/>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SUMMARY OF CERTAIN UNAUDITED PORTFOLIO CHARACTERISTICS</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information presented below is on a look-through basis to the collateralized loan obligation, or “CLO”, equity and related investments held by the Fund as of September 30, 2023, and reflects the aggregate underlying exposure of the Fund based on the portfolios of those investments. The data is estimated, unaudited, and derived from CLO trustee reports received by the Fund for the year ended September 30, 2023 and from custody statements and/or other information received from CLO collateral managers, or third party sources.</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Portfolio Investment Breakdown as of September 30, 2023</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(Excludes cash equivalents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68580</wp:posOffset>
            </wp:positionV>
            <wp:extent cx="3961765" cy="2378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61765"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900" w:type="dxa"/>
        <w:tblCellMar>
          <w:top w:w="0" w:type="dxa"/>
          <w:left w:w="0" w:type="dxa"/>
          <w:bottom w:w="0" w:type="dxa"/>
          <w:right w:w="0" w:type="dxa"/>
        </w:tblCellMar>
      </w:tblPr>
      <w:tr>
        <w:trPr>
          <w:trHeight w:val="170"/>
        </w:trPr>
        <w:tc>
          <w:tcPr>
            <w:tcW w:w="300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jc w:val="right"/>
              <w:ind w:right="3016"/>
              <w:spacing w:after="0"/>
              <w:rPr>
                <w:sz w:val="20"/>
                <w:szCs w:val="20"/>
                <w:color w:val="auto"/>
              </w:rPr>
            </w:pPr>
            <w:r>
              <w:rPr>
                <w:rFonts w:ascii="Times New Roman" w:cs="Times New Roman" w:eastAsia="Times New Roman" w:hAnsi="Times New Roman"/>
                <w:sz w:val="13"/>
                <w:szCs w:val="13"/>
                <w:b w:val="1"/>
                <w:bCs w:val="1"/>
                <w:color w:val="auto"/>
              </w:rPr>
              <w:t>Summary of Underlying Portfolio</w:t>
            </w:r>
          </w:p>
        </w:tc>
      </w:tr>
      <w:tr>
        <w:trPr>
          <w:trHeight w:val="158"/>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Number of Unique Underlying Loan Obligors</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Number of Underlying Loans</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Aggregate Balance of Underlying Loans</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 Billion</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Average Individual Loan Obligor Exposure</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0.07 %</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Currency: USD Exposure</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96.62 %</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Aggregate Indirect Exposure to Senior Secured Loans</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96.25 %</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Junior OC Cushion</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Market Value of Loan Collateral</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96.37</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w w:val="99"/>
              </w:rPr>
              <w:t>Weighted Average Remaining CLO Reinvestment Period</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years</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Last 12 Month Default Rate of Underlying Loans</w:t>
            </w:r>
          </w:p>
        </w:tc>
        <w:tc>
          <w:tcPr>
            <w:tcW w:w="5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142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Top 10 Underlying Obligors</w:t>
            </w:r>
          </w:p>
        </w:tc>
      </w:tr>
      <w:tr>
        <w:trPr>
          <w:trHeight w:val="172"/>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Obligor</w:t>
            </w:r>
          </w:p>
        </w:tc>
        <w:tc>
          <w:tcPr>
            <w:tcW w:w="358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3"/>
                <w:szCs w:val="13"/>
                <w:b w:val="1"/>
                <w:bCs w:val="1"/>
                <w:color w:val="auto"/>
              </w:rPr>
              <w:t>% Total</w:t>
            </w:r>
          </w:p>
        </w:tc>
      </w:tr>
      <w:tr>
        <w:trPr>
          <w:trHeight w:val="158"/>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Asurion</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0.56%</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Altice France</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0.55%</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UKG</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0.55%</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Medline</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0.52%</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Peraton</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0.50%</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Virgin Media</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0.48%</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Athenahealth</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0.47%</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TransDigm</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0.46%</w:t>
            </w: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McAfee</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color w:val="auto"/>
                <w:w w:val="95"/>
              </w:rPr>
              <w:t>0.46%</w:t>
            </w:r>
          </w:p>
        </w:tc>
      </w:tr>
      <w:tr>
        <w:trPr>
          <w:trHeight w:val="172"/>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Citadel Securities LP</w:t>
            </w:r>
          </w:p>
        </w:tc>
        <w:tc>
          <w:tcPr>
            <w:tcW w:w="3580" w:type="dxa"/>
            <w:vAlign w:val="bottom"/>
            <w:tcBorders>
              <w:bottom w:val="single" w:sz="8" w:color="auto"/>
            </w:tcBorders>
          </w:tcPr>
          <w:p>
            <w:pPr>
              <w:jc w:val="center"/>
              <w:ind w:left="2516"/>
              <w:spacing w:after="0"/>
              <w:rPr>
                <w:sz w:val="20"/>
                <w:szCs w:val="20"/>
                <w:color w:val="auto"/>
              </w:rPr>
            </w:pPr>
            <w:r>
              <w:rPr>
                <w:rFonts w:ascii="Times New Roman" w:cs="Times New Roman" w:eastAsia="Times New Roman" w:hAnsi="Times New Roman"/>
                <w:sz w:val="13"/>
                <w:szCs w:val="13"/>
                <w:color w:val="auto"/>
                <w:w w:val="95"/>
              </w:rPr>
              <w:t>0.44%</w:t>
            </w:r>
          </w:p>
        </w:tc>
      </w:tr>
      <w:tr>
        <w:trPr>
          <w:trHeight w:val="16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580" w:type="dxa"/>
            <w:vAlign w:val="bottom"/>
          </w:tcPr>
          <w:p>
            <w:pPr>
              <w:jc w:val="center"/>
              <w:ind w:left="2516"/>
              <w:spacing w:after="0"/>
              <w:rPr>
                <w:sz w:val="20"/>
                <w:szCs w:val="20"/>
                <w:color w:val="auto"/>
              </w:rPr>
            </w:pPr>
            <w:r>
              <w:rPr>
                <w:rFonts w:ascii="Times New Roman" w:cs="Times New Roman" w:eastAsia="Times New Roman" w:hAnsi="Times New Roman"/>
                <w:sz w:val="13"/>
                <w:szCs w:val="13"/>
                <w:b w:val="1"/>
                <w:bCs w:val="1"/>
                <w:color w:val="auto"/>
                <w:w w:val="95"/>
              </w:rPr>
              <w:t>5.0%</w:t>
            </w:r>
          </w:p>
        </w:tc>
      </w:tr>
    </w:tbl>
    <w:p>
      <w:pPr>
        <w:spacing w:after="0" w:line="200" w:lineRule="exact"/>
        <w:rPr>
          <w:sz w:val="20"/>
          <w:szCs w:val="20"/>
          <w:color w:val="auto"/>
        </w:rPr>
      </w:pPr>
    </w:p>
    <w:p>
      <w:pPr>
        <w:spacing w:after="0" w:line="29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63" w:right="1440" w:bottom="1440" w:gutter="0" w:footer="0" w:header="0"/>
        </w:sectPr>
      </w:pPr>
    </w:p>
    <w:bookmarkStart w:id="13" w:name="page14"/>
    <w:bookmarkEnd w:id="13"/>
    <w:p>
      <w:pPr>
        <w:ind w:left="1360"/>
        <w:spacing w:after="0"/>
        <w:rPr>
          <w:sz w:val="20"/>
          <w:szCs w:val="20"/>
          <w:color w:val="auto"/>
        </w:rPr>
      </w:pPr>
      <w:r>
        <w:rPr>
          <w:rFonts w:ascii="Times New Roman" w:cs="Times New Roman" w:eastAsia="Times New Roman" w:hAnsi="Times New Roman"/>
          <w:sz w:val="13"/>
          <w:szCs w:val="13"/>
          <w:b w:val="1"/>
          <w:bCs w:val="1"/>
          <w:color w:val="auto"/>
        </w:rPr>
        <w:t>Top 10 Industries of Underlying Obligors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2600" w:type="dxa"/>
            <w:vAlign w:val="bottom"/>
            <w:gridSpan w:val="2"/>
          </w:tcPr>
          <w:p>
            <w:pPr>
              <w:ind w:left="1500"/>
              <w:spacing w:after="0"/>
              <w:rPr>
                <w:sz w:val="20"/>
                <w:szCs w:val="20"/>
                <w:color w:val="auto"/>
              </w:rPr>
            </w:pPr>
            <w:r>
              <w:rPr>
                <w:rFonts w:ascii="Times New Roman" w:cs="Times New Roman" w:eastAsia="Times New Roman" w:hAnsi="Times New Roman"/>
                <w:sz w:val="13"/>
                <w:szCs w:val="13"/>
                <w:b w:val="1"/>
                <w:bCs w:val="1"/>
                <w:color w:val="auto"/>
              </w:rPr>
              <w:t>% Total</w:t>
            </w:r>
          </w:p>
        </w:tc>
      </w:tr>
      <w:tr>
        <w:trPr>
          <w:trHeight w:val="158"/>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2480" w:type="dxa"/>
            <w:vAlign w:val="bottom"/>
            <w:tcBorders>
              <w:top w:val="single" w:sz="8" w:color="auto"/>
            </w:tcBorders>
          </w:tcPr>
          <w:p>
            <w:pPr>
              <w:jc w:val="center"/>
              <w:ind w:left="1436"/>
              <w:spacing w:after="0"/>
              <w:rPr>
                <w:sz w:val="20"/>
                <w:szCs w:val="20"/>
                <w:color w:val="auto"/>
              </w:rPr>
            </w:pPr>
            <w:r>
              <w:rPr>
                <w:rFonts w:ascii="Times New Roman" w:cs="Times New Roman" w:eastAsia="Times New Roman" w:hAnsi="Times New Roman"/>
                <w:sz w:val="13"/>
                <w:szCs w:val="13"/>
                <w:color w:val="auto"/>
                <w:w w:val="94"/>
              </w:rPr>
              <w:t>13.99%</w:t>
            </w:r>
          </w:p>
        </w:tc>
        <w:tc>
          <w:tcPr>
            <w:tcW w:w="120" w:type="dxa"/>
            <w:vAlign w:val="bottom"/>
          </w:tcPr>
          <w:p>
            <w:pPr>
              <w:spacing w:after="0"/>
              <w:rPr>
                <w:sz w:val="13"/>
                <w:szCs w:val="13"/>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&amp; Pharmaceuticals</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w w:val="94"/>
              </w:rPr>
              <w:t>12.32%</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8.78%</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2480" w:type="dxa"/>
            <w:vAlign w:val="bottom"/>
          </w:tcPr>
          <w:p>
            <w:pPr>
              <w:jc w:val="center"/>
              <w:ind w:left="1416"/>
              <w:spacing w:after="0"/>
              <w:rPr>
                <w:sz w:val="20"/>
                <w:szCs w:val="20"/>
                <w:color w:val="auto"/>
              </w:rPr>
            </w:pPr>
            <w:r>
              <w:rPr>
                <w:rFonts w:ascii="Times New Roman" w:cs="Times New Roman" w:eastAsia="Times New Roman" w:hAnsi="Times New Roman"/>
                <w:sz w:val="13"/>
                <w:szCs w:val="13"/>
                <w:color w:val="auto"/>
                <w:w w:val="95"/>
              </w:rPr>
              <w:t>7.11%</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Hotels, Gaming &amp; Leisure</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5.32%</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&amp; Building</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4.49%</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&amp; Rubber</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tcPr>
          <w:p>
            <w:pPr>
              <w:spacing w:after="0"/>
              <w:rPr>
                <w:sz w:val="14"/>
                <w:szCs w:val="14"/>
                <w:color w:val="auto"/>
              </w:rPr>
            </w:pPr>
          </w:p>
        </w:tc>
      </w:tr>
      <w:tr>
        <w:trPr>
          <w:trHeight w:val="17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color w:val="auto"/>
              </w:rPr>
              <w:t>4.21%</w:t>
            </w:r>
          </w:p>
        </w:tc>
        <w:tc>
          <w:tcPr>
            <w:tcW w:w="120" w:type="dxa"/>
            <w:vAlign w:val="bottom"/>
          </w:tcPr>
          <w:p>
            <w:pPr>
              <w:spacing w:after="0"/>
              <w:rPr>
                <w:sz w:val="14"/>
                <w:szCs w:val="14"/>
                <w:color w:val="auto"/>
              </w:rPr>
            </w:pPr>
          </w:p>
        </w:tc>
      </w:tr>
      <w:tr>
        <w:trPr>
          <w:trHeight w:val="172"/>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Aerospace &amp; Defense</w:t>
            </w:r>
          </w:p>
        </w:tc>
        <w:tc>
          <w:tcPr>
            <w:tcW w:w="2480" w:type="dxa"/>
            <w:vAlign w:val="bottom"/>
            <w:tcBorders>
              <w:bottom w:val="single" w:sz="8" w:color="auto"/>
            </w:tcBorders>
          </w:tcPr>
          <w:p>
            <w:pPr>
              <w:jc w:val="center"/>
              <w:ind w:left="1436"/>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tcPr>
          <w:p>
            <w:pPr>
              <w:spacing w:after="0"/>
              <w:rPr>
                <w:sz w:val="14"/>
                <w:szCs w:val="14"/>
                <w:color w:val="auto"/>
              </w:rPr>
            </w:pPr>
          </w:p>
        </w:tc>
      </w:tr>
      <w:tr>
        <w:trPr>
          <w:trHeight w:val="160"/>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80" w:type="dxa"/>
            <w:vAlign w:val="bottom"/>
          </w:tcPr>
          <w:p>
            <w:pPr>
              <w:jc w:val="center"/>
              <w:ind w:left="1436"/>
              <w:spacing w:after="0"/>
              <w:rPr>
                <w:sz w:val="20"/>
                <w:szCs w:val="20"/>
                <w:color w:val="auto"/>
              </w:rPr>
            </w:pPr>
            <w:r>
              <w:rPr>
                <w:rFonts w:ascii="Times New Roman" w:cs="Times New Roman" w:eastAsia="Times New Roman" w:hAnsi="Times New Roman"/>
                <w:sz w:val="13"/>
                <w:szCs w:val="13"/>
                <w:b w:val="1"/>
                <w:bCs w:val="1"/>
                <w:color w:val="auto"/>
                <w:w w:val="94"/>
              </w:rPr>
              <w:t>68.5%</w:t>
            </w:r>
          </w:p>
        </w:tc>
        <w:tc>
          <w:tcPr>
            <w:tcW w:w="120" w:type="dxa"/>
            <w:vAlign w:val="bottom"/>
          </w:tcPr>
          <w:p>
            <w:pPr>
              <w:spacing w:after="0"/>
              <w:rPr>
                <w:sz w:val="13"/>
                <w:szCs w:val="13"/>
                <w:color w:val="auto"/>
              </w:rPr>
            </w:pPr>
          </w:p>
        </w:tc>
      </w:tr>
      <w:tr>
        <w:trPr>
          <w:trHeight w:val="596"/>
        </w:trPr>
        <w:tc>
          <w:tcPr>
            <w:tcW w:w="248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6"/>
              </w:rPr>
              <w:t>Weighted Average Rating Distribution</w:t>
            </w:r>
          </w:p>
        </w:tc>
        <w:tc>
          <w:tcPr>
            <w:tcW w:w="26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w w:val="95"/>
              </w:rPr>
              <w:t>Weighted Average Maturity Distribution</w:t>
            </w:r>
          </w:p>
        </w:tc>
      </w:tr>
      <w:tr>
        <w:trPr>
          <w:trHeight w:val="165"/>
        </w:trPr>
        <w:tc>
          <w:tcPr>
            <w:tcW w:w="24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Wtd Avg = B</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Wtd Avg = 4.6 yrs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4123055" cy="1226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23055" cy="1226185"/>
                    </a:xfrm>
                    <a:prstGeom prst="rect">
                      <a:avLst/>
                    </a:prstGeom>
                    <a:noFill/>
                  </pic:spPr>
                </pic:pic>
              </a:graphicData>
            </a:graphic>
          </wp:anchor>
        </w:drawing>
      </w:r>
    </w:p>
    <w:p>
      <w:pPr>
        <w:sectPr>
          <w:pgSz w:w="11900" w:h="16838" w:orient="portrait"/>
          <w:cols w:equalWidth="0" w:num="1">
            <w:col w:w="10159"/>
          </w:cols>
          <w:pgMar w:left="300" w:top="7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3"/>
          <w:szCs w:val="13"/>
          <w:color w:val="auto"/>
        </w:rPr>
        <w:t>Weighted Average Price Distribution Wtd Avg = 95.0 - 97.5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2000885" cy="1259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00885" cy="1259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Weighted Average Spread Distribution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Wtd Avg = 3.5 - 4.0%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163830</wp:posOffset>
            </wp:positionV>
            <wp:extent cx="2000885" cy="121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0885" cy="121920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2400" w:space="20"/>
            <w:col w:w="7739"/>
          </w:cols>
          <w:pgMar w:left="300" w:top="7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63"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following table is intended to assist you in understanding the costs and expenses that an investor in our common shares will bear, directly or indirectly, based on the assumptions set forth below. The expenses shown in the table under “Annual Expenses” are estimated amounts based on annualizing estimates for the three-month period ending December 31, 2023. We caution you that some of the percentages indicated in the table below are estimates and may vary. Except where the context suggests otherwise, whenever this table contains a reference to our fees or expenses, we will pay such fees and expenses out of our net assets and, consequently, shareholders will indirectly bear such fees or expenses as investors in the Fund.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 TRANSACTION FEES</w:t>
            </w: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load</w:t>
            </w:r>
          </w:p>
        </w:tc>
        <w:tc>
          <w:tcPr>
            <w:tcW w:w="3040" w:type="dxa"/>
            <w:vAlign w:val="bottom"/>
            <w:gridSpan w:val="3"/>
            <w:shd w:val="clear" w:color="auto" w:fill="CCEEFF"/>
          </w:tcPr>
          <w:p>
            <w:pPr>
              <w:jc w:val="right"/>
              <w:ind w:right="240"/>
              <w:spacing w:after="0" w:line="172"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6"/>
                <w:szCs w:val="6"/>
                <w:color w:val="auto"/>
              </w:rPr>
              <w:t xml:space="preserve"> (1)</w:t>
            </w:r>
          </w:p>
        </w:tc>
      </w:tr>
      <w:tr>
        <w:trPr>
          <w:trHeight w:val="170"/>
        </w:trPr>
        <w:tc>
          <w:tcPr>
            <w:tcW w:w="6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Offering expenses borne by the Fund</w:t>
            </w:r>
          </w:p>
        </w:tc>
        <w:tc>
          <w:tcPr>
            <w:tcW w:w="3040" w:type="dxa"/>
            <w:vAlign w:val="bottom"/>
            <w:gridSpan w:val="3"/>
          </w:tcPr>
          <w:p>
            <w:pPr>
              <w:jc w:val="right"/>
              <w:ind w:right="240"/>
              <w:spacing w:after="0" w:line="170"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6"/>
                <w:szCs w:val="6"/>
                <w:color w:val="auto"/>
              </w:rPr>
              <w:t xml:space="preserve"> (2)</w:t>
            </w:r>
          </w:p>
        </w:tc>
      </w:tr>
      <w:tr>
        <w:trPr>
          <w:trHeight w:val="17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Dividend reinvestment plan expenses</w:t>
            </w:r>
          </w:p>
        </w:tc>
        <w:tc>
          <w:tcPr>
            <w:tcW w:w="3040" w:type="dxa"/>
            <w:vAlign w:val="bottom"/>
            <w:gridSpan w:val="3"/>
            <w:shd w:val="clear" w:color="auto" w:fill="CCEEFF"/>
          </w:tcPr>
          <w:p>
            <w:pPr>
              <w:jc w:val="right"/>
              <w:ind w:right="240"/>
              <w:spacing w:after="0" w:line="170"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6"/>
                <w:szCs w:val="6"/>
                <w:color w:val="auto"/>
              </w:rPr>
              <w:t xml:space="preserve"> (3)</w:t>
            </w:r>
          </w:p>
        </w:tc>
      </w:tr>
      <w:tr>
        <w:trPr>
          <w:trHeight w:val="338"/>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shareholder transaction fees</w:t>
            </w:r>
          </w:p>
        </w:tc>
        <w:tc>
          <w:tcPr>
            <w:tcW w:w="3040" w:type="dxa"/>
            <w:vAlign w:val="bottom"/>
            <w:gridSpan w:val="3"/>
          </w:tcPr>
          <w:p>
            <w:pPr>
              <w:jc w:val="right"/>
              <w:ind w:right="240"/>
              <w:spacing w:after="0"/>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7"/>
                <w:szCs w:val="7"/>
                <w:color w:val="auto"/>
              </w:rPr>
              <w:t xml:space="preserve"> (4)</w:t>
            </w:r>
          </w:p>
        </w:tc>
      </w:tr>
      <w:tr>
        <w:trPr>
          <w:trHeight w:val="140"/>
        </w:trPr>
        <w:tc>
          <w:tcPr>
            <w:tcW w:w="608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ESTIMATED ANNUAL FUND EXPENSES</w:t>
            </w: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a percentage of net assets attributable to common shares)</w:t>
            </w: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Management Fee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440" w:type="dxa"/>
            <w:vAlign w:val="bottom"/>
            <w:shd w:val="clear" w:color="auto" w:fill="CCEEFF"/>
          </w:tcPr>
          <w:p>
            <w:pPr>
              <w:jc w:val="right"/>
              <w:ind w:right="148"/>
              <w:spacing w:after="0" w:line="171"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6"/>
                <w:szCs w:val="6"/>
                <w:color w:val="auto"/>
              </w:rPr>
              <w:t xml:space="preserve"> (5)</w:t>
            </w:r>
          </w:p>
        </w:tc>
        <w:tc>
          <w:tcPr>
            <w:tcW w:w="60" w:type="dxa"/>
            <w:vAlign w:val="bottom"/>
          </w:tcPr>
          <w:p>
            <w:pPr>
              <w:spacing w:after="0"/>
              <w:rPr>
                <w:sz w:val="14"/>
                <w:szCs w:val="14"/>
                <w:color w:val="auto"/>
              </w:rPr>
            </w:pPr>
          </w:p>
        </w:tc>
      </w:tr>
      <w:tr>
        <w:trPr>
          <w:trHeight w:val="170"/>
        </w:trPr>
        <w:tc>
          <w:tcPr>
            <w:tcW w:w="6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Incentive Fee payable under Investment Advisory Agreement (17.5%)</w:t>
            </w:r>
          </w:p>
        </w:tc>
        <w:tc>
          <w:tcPr>
            <w:tcW w:w="2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440" w:type="dxa"/>
            <w:vAlign w:val="bottom"/>
          </w:tcPr>
          <w:p>
            <w:pPr>
              <w:jc w:val="right"/>
              <w:ind w:right="148"/>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6"/>
                <w:szCs w:val="6"/>
                <w:color w:val="auto"/>
              </w:rPr>
              <w:t xml:space="preserve"> (6)</w:t>
            </w:r>
          </w:p>
        </w:tc>
        <w:tc>
          <w:tcPr>
            <w:tcW w:w="60" w:type="dxa"/>
            <w:vAlign w:val="bottom"/>
          </w:tcPr>
          <w:p>
            <w:pPr>
              <w:spacing w:after="0"/>
              <w:rPr>
                <w:sz w:val="14"/>
                <w:szCs w:val="14"/>
                <w:color w:val="auto"/>
              </w:rPr>
            </w:pPr>
          </w:p>
        </w:tc>
      </w:tr>
      <w:tr>
        <w:trPr>
          <w:trHeight w:val="17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payments and fees on borrowed funds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440" w:type="dxa"/>
            <w:vAlign w:val="bottom"/>
            <w:shd w:val="clear" w:color="auto" w:fill="CCEEFF"/>
          </w:tcPr>
          <w:p>
            <w:pPr>
              <w:jc w:val="right"/>
              <w:ind w:right="148"/>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6"/>
                <w:szCs w:val="6"/>
                <w:color w:val="auto"/>
              </w:rPr>
              <w:t xml:space="preserve"> (7)</w:t>
            </w:r>
          </w:p>
        </w:tc>
        <w:tc>
          <w:tcPr>
            <w:tcW w:w="60" w:type="dxa"/>
            <w:vAlign w:val="bottom"/>
          </w:tcPr>
          <w:p>
            <w:pPr>
              <w:spacing w:after="0"/>
              <w:rPr>
                <w:sz w:val="14"/>
                <w:szCs w:val="14"/>
                <w:color w:val="auto"/>
              </w:rPr>
            </w:pPr>
          </w:p>
        </w:tc>
      </w:tr>
      <w:tr>
        <w:trPr>
          <w:trHeight w:val="170"/>
        </w:trPr>
        <w:tc>
          <w:tcPr>
            <w:tcW w:w="6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440" w:type="dxa"/>
            <w:vAlign w:val="bottom"/>
          </w:tcPr>
          <w:p>
            <w:pPr>
              <w:jc w:val="right"/>
              <w:ind w:right="148"/>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6"/>
                <w:szCs w:val="6"/>
                <w:color w:val="auto"/>
              </w:rPr>
              <w:t xml:space="preserve"> (8)</w:t>
            </w:r>
          </w:p>
        </w:tc>
        <w:tc>
          <w:tcPr>
            <w:tcW w:w="60" w:type="dxa"/>
            <w:vAlign w:val="bottom"/>
          </w:tcPr>
          <w:p>
            <w:pPr>
              <w:spacing w:after="0"/>
              <w:rPr>
                <w:sz w:val="14"/>
                <w:szCs w:val="14"/>
                <w:color w:val="auto"/>
              </w:rPr>
            </w:pPr>
          </w:p>
        </w:tc>
      </w:tr>
      <w:tr>
        <w:trPr>
          <w:trHeight w:val="19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annual fund expenses</w:t>
            </w:r>
          </w:p>
        </w:tc>
        <w:tc>
          <w:tcPr>
            <w:tcW w:w="29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14.33 %</w:t>
            </w:r>
          </w:p>
        </w:tc>
        <w:tc>
          <w:tcPr>
            <w:tcW w:w="60" w:type="dxa"/>
            <w:vAlign w:val="bottom"/>
          </w:tcPr>
          <w:p>
            <w:pPr>
              <w:spacing w:after="0"/>
              <w:rPr>
                <w:sz w:val="16"/>
                <w:szCs w:val="16"/>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event that the Fund sells its securities publicly through underwriters or agents the related prospectus supplement will disclose the applicable sales load.</w:t>
      </w:r>
    </w:p>
    <w:p>
      <w:pPr>
        <w:spacing w:after="0" w:line="1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3"/>
          <w:szCs w:val="13"/>
          <w:color w:val="auto"/>
        </w:rPr>
        <w:t>In the event that the Fund sells its securities publicly through underwriters or agents the related prospectus supplement will disclose the estimated amount of total offering expenses (which may include offering expenses borne by third parties on the Fund’s behalf), the offering price and the offering expenses borne by the Fund as a percentage of the offering price.</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3"/>
          <w:szCs w:val="13"/>
          <w:color w:val="auto"/>
        </w:rPr>
        <w:t xml:space="preserve">The expenses of administering the dividend reinvestment plan (the “DRP”) are included in “Other Expenses.” You will pay brokerage charges if you direct your broker or the DRP Plan agent to sell your Common Shares that you acquired pursuant to the DRP. See </w:t>
      </w:r>
      <w:r>
        <w:rPr>
          <w:rFonts w:ascii="Times New Roman" w:cs="Times New Roman" w:eastAsia="Times New Roman" w:hAnsi="Times New Roman"/>
          <w:sz w:val="13"/>
          <w:szCs w:val="13"/>
          <w:b w:val="1"/>
          <w:bCs w:val="1"/>
          <w:i w:val="1"/>
          <w:iCs w:val="1"/>
          <w:color w:val="auto"/>
        </w:rPr>
        <w:t>“Dividend Reinvestment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related prospectus supplement will disclose the offering price and the total stockholder transaction expenses as a percentage of the offering price.</w:t>
      </w:r>
    </w:p>
    <w:p>
      <w:pPr>
        <w:spacing w:after="0" w:line="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3"/>
          <w:szCs w:val="13"/>
          <w:color w:val="auto"/>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The Fund shall pay CGCIM an Incentive Fee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calculation of the Incentive Fee for each calendar quarter is as follows:</w:t>
      </w:r>
    </w:p>
    <w:p>
      <w:pPr>
        <w:spacing w:after="0" w:line="94" w:lineRule="exact"/>
        <w:rPr>
          <w:sz w:val="20"/>
          <w:szCs w:val="20"/>
          <w:color w:val="auto"/>
        </w:rPr>
      </w:pPr>
    </w:p>
    <w:p>
      <w:pPr>
        <w:ind w:left="1020" w:right="160" w:hanging="506"/>
        <w:spacing w:after="0" w:line="287"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is payable to CGCIM if the Fund’s pre-incentive fee net investment income, expressed as a percentage of the Fund’s net assets in respect of the relevant calendar quarter, does not exceed the quarterly hurdle rate of 2.00%;</w:t>
      </w:r>
    </w:p>
    <w:p>
      <w:pPr>
        <w:spacing w:after="0" w:line="39" w:lineRule="exact"/>
        <w:rPr>
          <w:rFonts w:ascii="Times New Roman" w:cs="Times New Roman" w:eastAsia="Times New Roman" w:hAnsi="Times New Roman"/>
          <w:sz w:val="14"/>
          <w:szCs w:val="14"/>
          <w:color w:val="auto"/>
        </w:rPr>
      </w:pPr>
    </w:p>
    <w:p>
      <w:pPr>
        <w:ind w:left="1020" w:right="80" w:hanging="506"/>
        <w:spacing w:after="0" w:line="287"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portion of the Fund’s pre-incentive fee net investment income that exceeds the hurdle rate but is less than or equal to 2.4242% (the “catch-up”) is payable to CGCIM if the Fund’s pre-incentive fee net investment income, expressed as a percentage of the Fund’s net assets in respect of the relevant calendar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(expressed in U.S. dollars)</w:t>
      </w:r>
    </w:p>
    <w:p>
      <w:pPr>
        <w:spacing w:after="0" w:line="196" w:lineRule="exact"/>
        <w:rPr>
          <w:sz w:val="20"/>
          <w:szCs w:val="20"/>
          <w:color w:val="auto"/>
        </w:rPr>
      </w:pPr>
    </w:p>
    <w:p>
      <w:pPr>
        <w:ind w:left="1020" w:right="100"/>
        <w:spacing w:after="0" w:line="287" w:lineRule="auto"/>
        <w:rPr>
          <w:sz w:val="20"/>
          <w:szCs w:val="20"/>
          <w:color w:val="auto"/>
        </w:rPr>
      </w:pPr>
      <w:r>
        <w:rPr>
          <w:rFonts w:ascii="Times New Roman" w:cs="Times New Roman" w:eastAsia="Times New Roman" w:hAnsi="Times New Roman"/>
          <w:sz w:val="14"/>
          <w:szCs w:val="14"/>
          <w:color w:val="auto"/>
        </w:rPr>
        <w:t>quarter, exceeds the hurdle rate but is less than or equal to 2.4242% (9.6968% annualized). The “catch-up” provision is intended to provide CGCIM with an incentive fee of 17.5% on all of the Fund’s pre-incentive fee net investment income when the Fund’s pre-incentive fee net investment income reaches 2.4242% of net assets; and</w:t>
      </w:r>
    </w:p>
    <w:p>
      <w:pPr>
        <w:spacing w:after="0" w:line="39" w:lineRule="exact"/>
        <w:rPr>
          <w:sz w:val="20"/>
          <w:szCs w:val="20"/>
          <w:color w:val="auto"/>
        </w:rPr>
      </w:pPr>
    </w:p>
    <w:p>
      <w:pPr>
        <w:ind w:left="1020" w:hanging="506"/>
        <w:spacing w:after="0" w:line="270"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of the portion of the Fund’s pre-incentive fee net investment income that exceeds the “catch-up” is payable to CGCIM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CGCIM.</w:t>
      </w:r>
    </w:p>
    <w:p>
      <w:pPr>
        <w:spacing w:after="0" w:line="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Fund may issue preferred shares or debt securities. The above figure assumes an aggregate of $52 million of preferred shares with an interest rate of 8.75% per annum. In the event that the Fund were to issue preferred shares or debt securities, the Fund’s borrowing costs, and correspondingly its total annual expenses, including, in the case of such preferred shares, the base management fee as a percentage of the Fund’s net assets attributable to common shares, would increase.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expenses” includes the Fund’s overhead expenses, including payments under the Administration Agreement based on the Fund’s allocable portion of overhead and other expenses incurred by Administrator, and payment of fees in connection with outsourced administrative functions, and are based on estimated amounts for the current fiscal year. “Other expenses” also includes the ongoing administrative expenses to the independent accountants and legal counsel of the Fund, compensation of independent directors, and costs and expenses relating to rating agencies.</w:t>
      </w:r>
    </w:p>
    <w:p>
      <w:pPr>
        <w:spacing w:after="0" w:line="327"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following examples illustrate the hypothetical expenses that you would pay on a $1,000 investment assuming annual expenses attributable to common shares remain unchanged and common shares earn a 5% annual return: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Example</w:t>
            </w:r>
          </w:p>
        </w:tc>
        <w:tc>
          <w:tcPr>
            <w:tcW w:w="1260" w:type="dxa"/>
            <w:vAlign w:val="bottom"/>
            <w:gridSpan w:val="2"/>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1300" w:type="dxa"/>
            <w:vAlign w:val="bottom"/>
            <w:gridSpan w:val="2"/>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4"/>
              </w:rPr>
              <w:t>3 Years</w:t>
            </w:r>
          </w:p>
        </w:tc>
        <w:tc>
          <w:tcPr>
            <w:tcW w:w="122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10 Years</w:t>
            </w:r>
          </w:p>
        </w:tc>
      </w:tr>
      <w:tr>
        <w:trPr>
          <w:trHeight w:val="144"/>
        </w:trPr>
        <w:tc>
          <w:tcPr>
            <w:tcW w:w="564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You would pay the following expenses on a $1,000 investment, assuming a 5% annual</w:t>
            </w:r>
          </w:p>
        </w:tc>
        <w:tc>
          <w:tcPr>
            <w:tcW w:w="360" w:type="dxa"/>
            <w:vAlign w:val="bottom"/>
            <w:tcBorders>
              <w:top w:val="single" w:sz="8" w:color="auto"/>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91"/>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$955</w:t>
            </w:r>
          </w:p>
        </w:tc>
        <w:tc>
          <w:tcPr>
            <w:tcW w:w="400" w:type="dxa"/>
            <w:vAlign w:val="bottom"/>
            <w:shd w:val="clear" w:color="auto" w:fill="CCEEFF"/>
          </w:tcPr>
          <w:p>
            <w:pPr>
              <w:spacing w:after="0"/>
              <w:rPr>
                <w:sz w:val="16"/>
                <w:szCs w:val="16"/>
                <w:color w:val="auto"/>
              </w:rPr>
            </w:pPr>
          </w:p>
        </w:tc>
      </w:tr>
    </w:tbl>
    <w:p>
      <w:pPr>
        <w:spacing w:after="0" w:line="14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example and the expenses in the tables above should not be considered a representation of the Fund’s future expenses, and actual expenses may be greater or less than those shown. While the example assumes a 5.0% annual return, as required by the SEC, the Fund’s performance will vary and may result in a return greater or less than 5.0%.</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(expressed in U.S. dollars)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52"/>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at fair value (cost $94,853,011)</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93,876,730</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2,765,975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denominated in foreign currencies</w:t>
            </w: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50,091</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Receivables and other assets:</w:t>
            </w: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receivable</w:t>
            </w: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2,324,581</w:t>
            </w:r>
          </w:p>
        </w:tc>
        <w:tc>
          <w:tcPr>
            <w:tcW w:w="0" w:type="dxa"/>
            <w:vAlign w:val="bottom"/>
          </w:tcPr>
          <w:p>
            <w:pPr>
              <w:spacing w:after="0"/>
              <w:rPr>
                <w:sz w:val="1"/>
                <w:szCs w:val="1"/>
                <w:color w:val="auto"/>
              </w:rPr>
            </w:pP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1,450,000</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498,883</w:t>
            </w:r>
          </w:p>
        </w:tc>
        <w:tc>
          <w:tcPr>
            <w:tcW w:w="0" w:type="dxa"/>
            <w:vAlign w:val="bottom"/>
          </w:tcPr>
          <w:p>
            <w:pPr>
              <w:spacing w:after="0"/>
              <w:rPr>
                <w:sz w:val="1"/>
                <w:szCs w:val="1"/>
                <w:color w:val="auto"/>
              </w:rPr>
            </w:pPr>
          </w:p>
        </w:tc>
      </w:tr>
      <w:tr>
        <w:trPr>
          <w:trHeight w:val="156"/>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100,966,260</w:t>
            </w:r>
          </w:p>
        </w:tc>
        <w:tc>
          <w:tcPr>
            <w:tcW w:w="0" w:type="dxa"/>
            <w:vAlign w:val="bottom"/>
          </w:tcPr>
          <w:p>
            <w:pPr>
              <w:spacing w:after="0"/>
              <w:rPr>
                <w:sz w:val="1"/>
                <w:szCs w:val="1"/>
                <w:color w:val="auto"/>
              </w:rPr>
            </w:pPr>
          </w:p>
        </w:tc>
      </w:tr>
      <w:tr>
        <w:trPr>
          <w:trHeight w:val="364"/>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 dividend payable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1,159,119</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 fees payable</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428,735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Audit fees payable</w:t>
            </w: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298,100</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Administration fees payable</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65,676</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payables and accrued expenses</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263,890</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2,215,520</w:t>
            </w:r>
          </w:p>
        </w:tc>
        <w:tc>
          <w:tcPr>
            <w:tcW w:w="0" w:type="dxa"/>
            <w:vAlign w:val="bottom"/>
          </w:tcPr>
          <w:p>
            <w:pPr>
              <w:spacing w:after="0"/>
              <w:rPr>
                <w:sz w:val="1"/>
                <w:szCs w:val="1"/>
                <w:color w:val="auto"/>
              </w:rPr>
            </w:pPr>
          </w:p>
        </w:tc>
      </w:tr>
      <w:tr>
        <w:trPr>
          <w:trHeight w:val="152"/>
        </w:trPr>
        <w:tc>
          <w:tcPr>
            <w:tcW w:w="8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7)</w:t>
            </w: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98,750,740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COMPOSITION OF NET ASSETS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2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Paid-in capital</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112,069,044</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distributable earnings (losses)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(13,318,304)</w:t>
            </w: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98,750,740</w:t>
            </w: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shares outstanding (no par value)</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11,725,357</w:t>
            </w: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share of common stock</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i w:val="1"/>
          <w:iCs w:val="1"/>
          <w:color w:val="auto"/>
        </w:rPr>
        <w:t>See accompanying Notes to Financial Statements.</w:t>
      </w: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300" w:top="123"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(expressed in U.S. dollars)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1"/>
                <w:szCs w:val="11"/>
                <w:b w:val="1"/>
                <w:bCs w:val="1"/>
                <w:color w:val="auto"/>
              </w:rPr>
              <w:t xml:space="preserve">Issuer </w:t>
            </w:r>
            <w:r>
              <w:rPr>
                <w:rFonts w:ascii="Times New Roman" w:cs="Times New Roman" w:eastAsia="Times New Roman" w:hAnsi="Times New Roman"/>
                <w:sz w:val="14"/>
                <w:szCs w:val="14"/>
                <w:b w:val="1"/>
                <w:bCs w:val="1"/>
                <w:color w:val="auto"/>
                <w:vertAlign w:val="superscript"/>
              </w:rPr>
              <w:t>(1)(6)</w:t>
            </w:r>
          </w:p>
        </w:tc>
        <w:tc>
          <w:tcPr>
            <w:tcW w:w="32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1"/>
                <w:szCs w:val="11"/>
                <w:b w:val="1"/>
                <w:bCs w:val="1"/>
                <w:color w:val="auto"/>
              </w:rPr>
              <w:t>Investment Description</w:t>
            </w:r>
          </w:p>
        </w:tc>
        <w:tc>
          <w:tcPr>
            <w:tcW w:w="1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 xml:space="preserve">Acquisition Date </w:t>
            </w:r>
            <w:r>
              <w:rPr>
                <w:rFonts w:ascii="Times New Roman" w:cs="Times New Roman" w:eastAsia="Times New Roman" w:hAnsi="Times New Roman"/>
                <w:sz w:val="14"/>
                <w:szCs w:val="14"/>
                <w:b w:val="1"/>
                <w:bCs w:val="1"/>
                <w:color w:val="auto"/>
                <w:vertAlign w:val="superscript"/>
              </w:rPr>
              <w:t>(2)</w:t>
            </w: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 of Net Assets</w:t>
            </w:r>
          </w:p>
        </w:tc>
        <w:tc>
          <w:tcPr>
            <w:tcW w:w="120" w:type="dxa"/>
            <w:vAlign w:val="bottom"/>
            <w:tcBorders>
              <w:bottom w:val="single" w:sz="8" w:color="auto"/>
            </w:tcBorders>
          </w:tcPr>
          <w:p>
            <w:pPr>
              <w:spacing w:after="0"/>
              <w:rPr>
                <w:sz w:val="14"/>
                <w:szCs w:val="14"/>
                <w:color w:val="auto"/>
              </w:rPr>
            </w:pPr>
          </w:p>
        </w:tc>
      </w:tr>
      <w:tr>
        <w:trPr>
          <w:trHeight w:val="150"/>
        </w:trPr>
        <w:tc>
          <w:tcPr>
            <w:tcW w:w="2440" w:type="dxa"/>
            <w:vAlign w:val="bottom"/>
          </w:tcPr>
          <w:p>
            <w:pPr>
              <w:ind w:left="2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CLO - EQUITY </w:t>
            </w:r>
            <w:r>
              <w:rPr>
                <w:rFonts w:ascii="Times New Roman" w:cs="Times New Roman" w:eastAsia="Times New Roman" w:hAnsi="Times New Roman"/>
                <w:sz w:val="14"/>
                <w:szCs w:val="14"/>
                <w:b w:val="1"/>
                <w:bCs w:val="1"/>
                <w:color w:val="auto"/>
                <w:vertAlign w:val="superscript"/>
              </w:rPr>
              <w:t>(4)(5)</w:t>
            </w:r>
          </w:p>
        </w:tc>
        <w:tc>
          <w:tcPr>
            <w:tcW w:w="3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522 Funding CLO 2021-7,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19.36%, 4/23/2034)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7/27/2023 $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4,505,000</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2,883,200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2,900,020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Aimco CLO 14,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15.92%, 4/20/2034)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4,434,946</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4,520,042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Ares LVI CLO,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18.42%, 10/25/2034)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8/24/2023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2,710,500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2,670,797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Bain Capital Credit CLO 2021-1,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23.22%, 4/18/2034)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2,511,496</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2,617,021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Ballyrock CLO 15,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15.70%, 4/15/2034)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8/16/2023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3,731,250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3,665,532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Ballyrock CLO 18,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15.63%, 1/15/2035)</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8/16/2023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1,921,875</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1,919,137</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Barings CLO, Ltd. 2021-I</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19.58%, 4/25/2034)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2,235,830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2,300,831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Benefit Street Partners CLO XXIII,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19.50%, 4/25/2034)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8/2/2023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7,625,000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8,063,391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BlueMountain CLO XXXV,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17.24%, 7/22/2035)</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8/7/2023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7,800,295</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5,990,978</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6,103,428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CIFC Funding 2020-III,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15.84%, 10/20/2034)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9/20/2023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5,783,750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5,740,630</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Elmwood CLO 16,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14.70%, 4/20/2034)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8/10/2023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5,197,500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5,267,328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Elmwood CLO VI,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14.83%, 10/20/2034)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1,483,518</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1,598,272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Elmwood CLO VII,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16.08%, 1/17/2034)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1,478,631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1,605,415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Invesco CLO 2021-1,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19.67%, 4/15/2034)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9/20/2023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2,182,500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2,136,427</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Invesco CLO 2021-1,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18.93%, 4/15/2034)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9/14/2023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1,478,000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1,421,379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KKR CLO 33,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20.11%, 7/20/2034)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9/13/2023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3,626,500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3,585,442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Madison Park Funding LXII,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19.20%, 7/17/2036)</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7/25/2023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8,803,200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8,766,457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Magnetite XIX,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16.78%, 4/17/2034)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9/14/2023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8,614,583</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5,735,534</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5,792,756</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Neuberger Berman Loan Advisers CLO 38,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18.99%, 10/20/2035)</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8/1/2023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6,056,250</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6,122,195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Octagon 55,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21.08%, 7/20/2034)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7/19/2023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3,549,300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3,352,277</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OHA Credit Partners XIII,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18.52%, 10/21/2034)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7/17/2023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1,707,814</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2,046,312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Voya CLO 2020-2, Ltd.</w:t>
            </w:r>
          </w:p>
        </w:tc>
        <w:tc>
          <w:tcPr>
            <w:tcW w:w="3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21.12%, 7/19/2034)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8/2/2023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5,500,000</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4,578,750</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4,690,231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Voya CLO 2020-3, Ltd.</w:t>
            </w:r>
          </w:p>
        </w:tc>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Subordinated Notes (effective yield 19.77%, 10/20/2034)</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8/3/2023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3,130,000</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3,137,888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4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88,836,322</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90,023,208</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91.16 %</w:t>
            </w: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CLO - DEBT </w:t>
            </w:r>
            <w:r>
              <w:rPr>
                <w:rFonts w:ascii="Times New Roman" w:cs="Times New Roman" w:eastAsia="Times New Roman" w:hAnsi="Times New Roman"/>
                <w:sz w:val="14"/>
                <w:szCs w:val="14"/>
                <w:b w:val="1"/>
                <w:bCs w:val="1"/>
                <w:color w:val="auto"/>
                <w:vertAlign w:val="superscript"/>
              </w:rPr>
              <w:t>(4)</w:t>
            </w:r>
          </w:p>
        </w:tc>
        <w:tc>
          <w:tcPr>
            <w:tcW w:w="35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Avondale Park CLO DAC</w:t>
            </w:r>
          </w:p>
        </w:tc>
        <w:tc>
          <w:tcPr>
            <w:tcW w:w="35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12.55% (3M EURIBOR + 8.65%, 9/20/2034)</w:t>
            </w:r>
          </w:p>
        </w:tc>
        <w:tc>
          <w:tcPr>
            <w:tcW w:w="14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9/6/2023 €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1,956,973</w:t>
            </w: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1,798,509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CLO - SUBORDINATED FEE NOTE </w:t>
            </w:r>
            <w:r>
              <w:rPr>
                <w:rFonts w:ascii="Times New Roman" w:cs="Times New Roman" w:eastAsia="Times New Roman" w:hAnsi="Times New Roman"/>
                <w:sz w:val="14"/>
                <w:szCs w:val="14"/>
                <w:b w:val="1"/>
                <w:bCs w:val="1"/>
                <w:color w:val="auto"/>
                <w:vertAlign w:val="superscript"/>
              </w:rPr>
              <w:t>(4)(5)</w:t>
            </w:r>
          </w:p>
        </w:tc>
        <w:tc>
          <w:tcPr>
            <w:tcW w:w="3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Neuberger Berman Loan Advisers CLO 38, Ltd.</w:t>
            </w:r>
          </w:p>
        </w:tc>
        <w:tc>
          <w:tcPr>
            <w:tcW w:w="35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Subordinated Fee Note (effective yield 21.70%, 10/20/2035)</w:t>
            </w:r>
          </w:p>
        </w:tc>
        <w:tc>
          <w:tcPr>
            <w:tcW w:w="14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8/1/2023</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69,788</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55,837</w:t>
            </w:r>
          </w:p>
        </w:tc>
        <w:tc>
          <w:tcPr>
            <w:tcW w:w="260" w:type="dxa"/>
            <w:vAlign w:val="bottom"/>
          </w:tcPr>
          <w:p>
            <w:pPr>
              <w:spacing w:after="0"/>
              <w:rPr>
                <w:sz w:val="13"/>
                <w:szCs w:val="13"/>
                <w:color w:val="auto"/>
              </w:rPr>
            </w:pP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55,013</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6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REAL ESTATE </w:t>
            </w:r>
            <w:r>
              <w:rPr>
                <w:rFonts w:ascii="Times New Roman" w:cs="Times New Roman" w:eastAsia="Times New Roman" w:hAnsi="Times New Roman"/>
                <w:sz w:val="14"/>
                <w:szCs w:val="14"/>
                <w:b w:val="1"/>
                <w:bCs w:val="1"/>
                <w:color w:val="auto"/>
                <w:vertAlign w:val="superscript"/>
              </w:rPr>
              <w:t>(7)</w:t>
            </w:r>
          </w:p>
        </w:tc>
        <w:tc>
          <w:tcPr>
            <w:tcW w:w="3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Moores Crossing - Travis County, TX</w:t>
            </w:r>
          </w:p>
        </w:tc>
        <w:tc>
          <w:tcPr>
            <w:tcW w:w="35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283"/>
              <w:spacing w:after="0"/>
              <w:rPr>
                <w:sz w:val="20"/>
                <w:szCs w:val="20"/>
                <w:color w:val="auto"/>
              </w:rPr>
            </w:pPr>
            <w:r>
              <w:rPr>
                <w:rFonts w:ascii="Times New Roman" w:cs="Times New Roman" w:eastAsia="Times New Roman" w:hAnsi="Times New Roman"/>
                <w:sz w:val="11"/>
                <w:szCs w:val="11"/>
                <w:color w:val="auto"/>
              </w:rPr>
              <w:t>7/14/2023</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4,003,879</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2,000,000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35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94,853,011</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93,876,730</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95.07 %</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 ended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(expressed in U.S. dollars)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1"/>
                <w:szCs w:val="11"/>
                <w:b w:val="1"/>
                <w:bCs w:val="1"/>
                <w:color w:val="auto"/>
              </w:rPr>
              <w:t xml:space="preserve">Issuer </w:t>
            </w:r>
            <w:r>
              <w:rPr>
                <w:rFonts w:ascii="Times New Roman" w:cs="Times New Roman" w:eastAsia="Times New Roman" w:hAnsi="Times New Roman"/>
                <w:sz w:val="14"/>
                <w:szCs w:val="14"/>
                <w:b w:val="1"/>
                <w:bCs w:val="1"/>
                <w:color w:val="auto"/>
                <w:vertAlign w:val="superscript"/>
              </w:rPr>
              <w:t>(1)(6)</w:t>
            </w:r>
          </w:p>
        </w:tc>
        <w:tc>
          <w:tcPr>
            <w:tcW w:w="32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1"/>
                <w:szCs w:val="11"/>
                <w:b w:val="1"/>
                <w:bCs w:val="1"/>
                <w:color w:val="auto"/>
              </w:rPr>
              <w:t>Investment Description</w:t>
            </w:r>
          </w:p>
        </w:tc>
        <w:tc>
          <w:tcPr>
            <w:tcW w:w="2920" w:type="dxa"/>
            <w:vAlign w:val="bottom"/>
            <w:tcBorders>
              <w:bottom w:val="single" w:sz="8" w:color="auto"/>
            </w:tcBorders>
            <w:gridSpan w:val="2"/>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 xml:space="preserve">Acquisition Date </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1"/>
                <w:szCs w:val="11"/>
                <w:b w:val="1"/>
                <w:bCs w:val="1"/>
                <w:color w:val="auto"/>
              </w:rPr>
              <w:t xml:space="preserve">    Principal Amount</w:t>
            </w: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10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 of Net Assets</w:t>
            </w:r>
          </w:p>
        </w:tc>
      </w:tr>
      <w:tr>
        <w:trPr>
          <w:trHeight w:val="15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32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MMDA</w:t>
            </w:r>
          </w:p>
        </w:tc>
        <w:tc>
          <w:tcPr>
            <w:tcW w:w="32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Money Market Deposit Account (5.20%)</w:t>
            </w:r>
          </w:p>
        </w:tc>
        <w:tc>
          <w:tcPr>
            <w:tcW w:w="2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2,765,975</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2,765,975</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2,765,975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2.80 %</w:t>
            </w:r>
          </w:p>
        </w:tc>
      </w:tr>
      <w:tr>
        <w:trPr>
          <w:trHeight w:val="218"/>
        </w:trPr>
        <w:tc>
          <w:tcPr>
            <w:tcW w:w="23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145"/>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w:t>
            </w:r>
          </w:p>
        </w:tc>
        <w:tc>
          <w:tcPr>
            <w:tcW w:w="3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97,618,986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96,642,705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97.87 %</w:t>
            </w:r>
          </w:p>
        </w:tc>
      </w:tr>
      <w:tr>
        <w:trPr>
          <w:trHeight w:val="155"/>
        </w:trPr>
        <w:tc>
          <w:tcPr>
            <w:tcW w:w="23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right="320" w:hanging="195"/>
        <w:spacing w:after="0" w:line="252" w:lineRule="auto"/>
        <w:tabs>
          <w:tab w:leader="none" w:pos="169"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Fund is not affiliated with, nor does it "control" (as such term is defined in the Investment Company Act of 1940 (the "1940 Act")), any of the issuers listed. In general, under the 1940 Act, the Fund would be presumed to "control" an issuer if it owned 25% or more of its voting securities.</w:t>
      </w: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Acquisition date represents the initial date of purchase or the date the investment was contributed to the Fund at the time of the Fund's formation.</w:t>
      </w:r>
    </w:p>
    <w:p>
      <w:pPr>
        <w:spacing w:after="0" w:line="9"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Fair value is determined by the Adviser in accordance with the written valuation policies and procedures, subject to oversight by the Company's Board of Trustees, in accordance with Rule 2a-5 under the 1940 Act.</w:t>
      </w:r>
    </w:p>
    <w:p>
      <w:pPr>
        <w:spacing w:after="0" w:line="6" w:lineRule="exact"/>
        <w:rPr>
          <w:rFonts w:ascii="Times New Roman" w:cs="Times New Roman" w:eastAsia="Times New Roman" w:hAnsi="Times New Roman"/>
          <w:sz w:val="11"/>
          <w:szCs w:val="11"/>
          <w:color w:val="auto"/>
        </w:rPr>
      </w:pPr>
    </w:p>
    <w:p>
      <w:pPr>
        <w:ind w:left="200" w:right="60" w:hanging="195"/>
        <w:spacing w:after="0" w:line="249" w:lineRule="auto"/>
        <w:tabs>
          <w:tab w:leader="none" w:pos="169"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Securities exempt from registration under the Securities Act of 1933, and are deemed to be "restricted securities." As of September 30, 2023, the aggregate fair value of these securities is $91,876,730, or 93.04% of the Fund's net assets.</w:t>
      </w:r>
    </w:p>
    <w:p>
      <w:pPr>
        <w:ind w:left="200" w:right="80" w:hanging="190"/>
        <w:spacing w:after="0" w:line="268" w:lineRule="auto"/>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12"/>
          <w:szCs w:val="12"/>
          <w:color w:val="auto"/>
        </w:rPr>
        <w:t>) CLO subordinated notes and income notes are considered CLO equity positions. CLO equity positions are entitled to recurring distributions which are generally equal to the remaining cash flow of payments made by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2"/>
          <w:szCs w:val="12"/>
          <w:color w:val="auto"/>
        </w:rPr>
        <w:t>underlying assets less contractual payments to debt holders and fund expenses. The effective yield is estimated based upon the current projection of the amount and timing of these recurring distributions in addition to the estimated amount of terminal principal payment. It is the Company's policy to update the effective yield for each CLO equity position held within the Company's portfolio at the initiation of each investment and each subsequent quarter thereafter. The effective yield and investment cost may ultimately not be realized. As of September 30, 2023, the Company's weighted average effective yield on its aggregate CLO equity positions, based on current amortized cost, was 18.26%.</w:t>
      </w:r>
    </w:p>
    <w:p>
      <w:pPr>
        <w:spacing w:after="0" w:line="1"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fair value of the investment was determined using significant unobservable inputs. See “Note 3. Fair Value Measurements.”</w:t>
      </w:r>
    </w:p>
    <w:p>
      <w:pPr>
        <w:spacing w:after="0" w:line="1" w:lineRule="exact"/>
        <w:rPr>
          <w:rFonts w:ascii="Times New Roman" w:cs="Times New Roman" w:eastAsia="Times New Roman" w:hAnsi="Times New Roman"/>
          <w:sz w:val="11"/>
          <w:szCs w:val="11"/>
          <w:color w:val="auto"/>
        </w:rPr>
      </w:pPr>
    </w:p>
    <w:p>
      <w:pPr>
        <w:ind w:left="200" w:right="20" w:hanging="195"/>
        <w:spacing w:after="0" w:line="271" w:lineRule="auto"/>
        <w:tabs>
          <w:tab w:leader="none" w:pos="169"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Fund inherited a non-income producing defaulted real estate loan from VCIF that was not included in the legacy portfolio sale. Pursuant to a deed-in-lieu of foreclosure on August 10, 2023, the Fund has ownership of the real estate.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STATEMENTS OF CHANGES IN NET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Years Ended September 30, 2023 and 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expressed in U.S. dollars)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Year ended September 30, 2023</w:t>
            </w:r>
          </w:p>
        </w:tc>
      </w:tr>
      <w:tr>
        <w:trPr>
          <w:trHeight w:val="152"/>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7,353,622</w:t>
            </w:r>
          </w:p>
        </w:tc>
      </w:tr>
      <w:tr>
        <w:trPr>
          <w:trHeight w:val="168"/>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45,123</w:t>
            </w:r>
          </w:p>
        </w:tc>
      </w:tr>
      <w:tr>
        <w:trPr>
          <w:trHeight w:val="16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investment income</w:t>
            </w:r>
          </w:p>
        </w:tc>
        <w:tc>
          <w:tcPr>
            <w:tcW w:w="12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7,398,745</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Non-recurring fees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2,840,327</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Management fees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1,365,151</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Legal fees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988,347</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Insurance expense</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295,931</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 servicing fees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507,552</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Audit fees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318,044</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296,267</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203,544</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Transfer agent fees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127,541</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 and trustees' fees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163,972</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Printing expense</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89,987</w:t>
            </w:r>
          </w:p>
        </w:tc>
      </w:tr>
      <w:tr>
        <w:trPr>
          <w:trHeight w:val="168"/>
        </w:trPr>
        <w:tc>
          <w:tcPr>
            <w:tcW w:w="82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Custody fees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66,415</w:t>
            </w:r>
          </w:p>
        </w:tc>
      </w:tr>
      <w:tr>
        <w:trPr>
          <w:trHeight w:val="172"/>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Line of credit fees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43,198</w:t>
            </w:r>
          </w:p>
        </w:tc>
      </w:tr>
      <w:tr>
        <w:trPr>
          <w:trHeight w:val="168"/>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Miscellaneous expenses</w:t>
            </w: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229,225</w:t>
            </w:r>
          </w:p>
        </w:tc>
      </w:tr>
      <w:tr>
        <w:trPr>
          <w:trHeight w:val="16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7,535,501</w:t>
            </w:r>
          </w:p>
        </w:tc>
      </w:tr>
      <w:tr>
        <w:trPr>
          <w:trHeight w:val="158"/>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Less: expenses waived by adviser</w:t>
            </w:r>
          </w:p>
        </w:tc>
        <w:tc>
          <w:tcPr>
            <w:tcW w:w="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(709,496)</w:t>
            </w:r>
          </w:p>
        </w:tc>
      </w:tr>
      <w:tr>
        <w:trPr>
          <w:trHeight w:val="16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Expenses</w:t>
            </w:r>
          </w:p>
        </w:tc>
        <w:tc>
          <w:tcPr>
            <w:tcW w:w="12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6,826,005</w:t>
            </w:r>
          </w:p>
        </w:tc>
      </w:tr>
      <w:tr>
        <w:trPr>
          <w:trHeight w:val="15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572,740</w:t>
            </w:r>
          </w:p>
        </w:tc>
      </w:tr>
      <w:tr>
        <w:trPr>
          <w:trHeight w:val="192"/>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Gain/(Loss) On Investments</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(10,717,995)</w:t>
            </w: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foreign currency transactions</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foreign currency, and cash equivalents</w:t>
            </w:r>
          </w:p>
        </w:tc>
        <w:tc>
          <w:tcPr>
            <w:tcW w:w="12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(1,675,639)</w:t>
            </w:r>
          </w:p>
        </w:tc>
      </w:tr>
      <w:tr>
        <w:trPr>
          <w:trHeight w:val="15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Loss on Investments</w:t>
            </w:r>
          </w:p>
        </w:tc>
        <w:tc>
          <w:tcPr>
            <w:tcW w:w="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(12,394,799)</w:t>
            </w:r>
          </w:p>
        </w:tc>
      </w:tr>
      <w:tr>
        <w:trPr>
          <w:trHeight w:val="152"/>
        </w:trPr>
        <w:tc>
          <w:tcPr>
            <w:tcW w:w="8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920" w:type="dxa"/>
            <w:vAlign w:val="bottom"/>
            <w:tcBorders>
              <w:bottom w:val="single" w:sz="8" w:color="auto"/>
            </w:tcBorders>
            <w:shd w:val="clear" w:color="auto" w:fill="CCEEFF"/>
          </w:tcPr>
          <w:p>
            <w:pPr>
              <w:spacing w:after="0"/>
              <w:rPr>
                <w:sz w:val="13"/>
                <w:szCs w:val="13"/>
                <w:color w:val="auto"/>
              </w:rPr>
            </w:pPr>
          </w:p>
        </w:tc>
      </w:tr>
      <w:tr>
        <w:trPr>
          <w:trHeight w:val="160"/>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Net Assets Attributable to Common Shares from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(11,822,059)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31"/>
        </w:trPr>
        <w:tc>
          <w:tcPr>
            <w:tcW w:w="8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r>
    </w:tbl>
    <w:p>
      <w:pPr>
        <w:spacing w:after="0" w:line="25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i w:val="1"/>
          <w:iCs w:val="1"/>
          <w:color w:val="auto"/>
        </w:rPr>
        <w:t>See accompanying Notes to the Financial Statements.</w:t>
      </w: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300" w:top="123" w:right="1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Year ended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expressed in U.S. dollars)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Year ended September 30,</w:t>
            </w:r>
          </w:p>
        </w:tc>
        <w:tc>
          <w:tcPr>
            <w:tcW w:w="1040" w:type="dxa"/>
            <w:vAlign w:val="bottom"/>
            <w:tcBorders>
              <w:bottom w:val="single" w:sz="8" w:color="auto"/>
            </w:tcBorders>
          </w:tcPr>
          <w:p>
            <w:pPr>
              <w:spacing w:after="0"/>
              <w:rPr>
                <w:sz w:val="14"/>
                <w:szCs w:val="14"/>
                <w:color w:val="auto"/>
              </w:rPr>
            </w:pPr>
          </w:p>
        </w:tc>
      </w:tr>
      <w:tr>
        <w:trPr>
          <w:trHeight w:val="160"/>
        </w:trPr>
        <w:tc>
          <w:tcPr>
            <w:tcW w:w="76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50"/>
        </w:trPr>
        <w:tc>
          <w:tcPr>
            <w:tcW w:w="76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Net increase (decrease) in net assets from operations:</w:t>
            </w: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2"/>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572,740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5,193,048</w:t>
            </w:r>
          </w:p>
        </w:tc>
      </w:tr>
      <w:tr>
        <w:trPr>
          <w:trHeight w:val="16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(10,717,995)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2,087,057</w:t>
            </w:r>
          </w:p>
        </w:tc>
      </w:tr>
      <w:tr>
        <w:trPr>
          <w:trHeight w:val="172"/>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foreign currency transactions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foreign currency and cash equivalents</w:t>
            </w: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(1,675,639)</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(10,408,837)</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 net assets resulting from operations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(11,822,059)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(3,128,732)</w:t>
            </w:r>
          </w:p>
        </w:tc>
      </w:tr>
      <w:tr>
        <w:trPr>
          <w:trHeight w:val="202"/>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shareholders from:</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(4,512,176)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(9,452,773)</w:t>
            </w:r>
          </w:p>
        </w:tc>
      </w:tr>
      <w:tr>
        <w:trPr>
          <w:trHeight w:val="172"/>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Return of capital</w:t>
            </w:r>
          </w:p>
        </w:tc>
        <w:tc>
          <w:tcPr>
            <w:tcW w:w="10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(4,166,758)</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(912,958)</w:t>
            </w:r>
          </w:p>
        </w:tc>
      </w:tr>
      <w:tr>
        <w:trPr>
          <w:trHeight w:val="15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distributions to shareholders</w:t>
            </w:r>
          </w:p>
        </w:tc>
        <w:tc>
          <w:tcPr>
            <w:tcW w:w="10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(8,678,934)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(10,365,731)</w:t>
            </w:r>
          </w:p>
        </w:tc>
      </w:tr>
      <w:tr>
        <w:trPr>
          <w:trHeight w:val="204"/>
        </w:trPr>
        <w:tc>
          <w:tcPr>
            <w:tcW w:w="7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6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share transactions</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beneficial interest:</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10,816,451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Reinvestment of dividends</w:t>
            </w:r>
          </w:p>
        </w:tc>
        <w:tc>
          <w:tcPr>
            <w:tcW w:w="10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605,817</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net assets from capital share transactions</w:t>
            </w:r>
          </w:p>
        </w:tc>
        <w:tc>
          <w:tcPr>
            <w:tcW w:w="10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11,422,268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7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Total increase (decrease) in net 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Net assets at the beginning of the period</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assets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(9,078,725)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8"/>
              </w:rPr>
              <w:t>(13,494,463)</w:t>
            </w:r>
          </w:p>
        </w:tc>
      </w:tr>
      <w:tr>
        <w:trPr>
          <w:trHeight w:val="172"/>
        </w:trPr>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107,829,465</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121,323,928</w:t>
            </w:r>
          </w:p>
        </w:tc>
      </w:tr>
      <w:tr>
        <w:trPr>
          <w:trHeight w:val="161"/>
        </w:trPr>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98,750,740</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107,829,465</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-248920</wp:posOffset>
            </wp:positionV>
            <wp:extent cx="716153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600"/>
          </w:cols>
          <w:pgMar w:left="300" w:top="123" w:right="319" w:bottom="1440" w:gutter="0" w:footer="0" w:header="0"/>
          <w:type w:val="continuous"/>
        </w:sectPr>
      </w:pPr>
    </w:p>
    <w:p>
      <w:pPr>
        <w:spacing w:after="0" w:line="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i w:val="1"/>
          <w:iCs w:val="1"/>
          <w:color w:val="auto"/>
        </w:rPr>
        <w:t>See accompanying Notes to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6"/>
              </w:rPr>
              <w:t>Year ended September 30, 2023</w:t>
            </w:r>
          </w:p>
        </w:tc>
      </w:tr>
      <w:tr>
        <w:trPr>
          <w:trHeight w:val="1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(11,822,059)</w:t>
            </w: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decrease in net assets from operations to net cash provided by operating activities: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(93,617,641)</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disposition of investments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98,538,634</w:t>
            </w: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amortization on investments</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(630,511)</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realized loss on investments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10,717,995</w:t>
            </w: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unrealized depreciation on investments</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1,675,639</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Increase in interest receivable</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(407,258)</w:t>
            </w: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receivable for investments sold and principal paydowns</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(691,415)</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prepaid expenses and other assets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168,909</w:t>
            </w: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legal fees payable</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421,735</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payable for investments purchased</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(243,093)</w:t>
            </w: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audit fees payable</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117,984</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accrued advisory fees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(104,827)</w:t>
            </w:r>
          </w:p>
        </w:tc>
      </w:tr>
      <w:tr>
        <w:trPr>
          <w:trHeight w:val="168"/>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Increase in accrued expenses and other liabilities</w:t>
            </w: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276,582</w:t>
            </w:r>
          </w:p>
        </w:tc>
      </w:tr>
      <w:tr>
        <w:trPr>
          <w:trHeight w:val="1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4,400,674</w:t>
            </w:r>
          </w:p>
        </w:tc>
      </w:tr>
      <w:tr>
        <w:trPr>
          <w:trHeight w:val="194"/>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68"/>
        </w:trPr>
        <w:tc>
          <w:tcPr>
            <w:tcW w:w="8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 to shareholders, net of reinvestments</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(6,913,998)</w:t>
            </w:r>
          </w:p>
        </w:tc>
      </w:tr>
      <w:tr>
        <w:trPr>
          <w:trHeight w:val="17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shares sold</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10,816,451</w:t>
            </w:r>
          </w:p>
        </w:tc>
      </w:tr>
      <w:tr>
        <w:trPr>
          <w:trHeight w:val="168"/>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Payments on line of credit</w:t>
            </w: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(7,455,337)</w:t>
            </w:r>
          </w:p>
        </w:tc>
      </w:tr>
      <w:tr>
        <w:trPr>
          <w:trHeight w:val="16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2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(3,552,884)</w:t>
            </w:r>
          </w:p>
        </w:tc>
      </w:tr>
      <w:tr>
        <w:trPr>
          <w:trHeight w:val="15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12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847,790</w:t>
            </w: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year</w:t>
            </w:r>
          </w:p>
        </w:tc>
        <w:tc>
          <w:tcPr>
            <w:tcW w:w="12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1,968,276</w:t>
            </w:r>
          </w:p>
        </w:tc>
      </w:tr>
      <w:tr>
        <w:trPr>
          <w:trHeight w:val="16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2,816,066</w:t>
            </w: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information:</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 on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296,267</w:t>
            </w: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Non-cash activities:</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Reinvestment of dividends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605,817</w:t>
            </w:r>
          </w:p>
        </w:tc>
      </w:tr>
    </w:tbl>
    <w:p>
      <w:pPr>
        <w:spacing w:after="0" w:line="3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00"/>
          </w:cols>
          <w:pgMar w:left="300" w:top="12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Carlyle Credit Income Fund (the “Fund”) is a non-diversified, closed-end management investment company registered under the Investment Company Act of 1940, as amended (the “1940 Act”). The Fund was organized as a Delaware statutory trust on April 8, 2011. In addition, the Fund has elected to be treated, and intends to continue to comply with the requirements to qualify annually, as a regulated investment company (“RIC”) under Subchapter M of the Internal Revenue Code of 1986, as amended (together with the rules and regulations promulgated thereunder, the “Code”). The Fund currently has one class of common shares which commenced operations on December 30, 2011. The Fund was previously named Vertical Capital Income Fund (“VCIF”) and was managed by its Adviser, Oakline Advisors LLC (“Oakline”). Effective at the close of business on July 14, 2023, the Fund is managed by its Adviser, Carlyle Global Credit Investment Management L.L.C. (“CGCIM” or the “Adviser”), a wholly owned subsidiary of Carlyle Investment Management L.L.C.</w:t>
      </w:r>
    </w:p>
    <w:p>
      <w:pPr>
        <w:spacing w:after="0" w:line="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On January 12, 2023, the Fund entered into a definitive agreement (the “Transaction Agreement”) with the Adviser pursuant to which, among other things, CGCIM would become the investment adviser to the Fund (the “Transaction”). Pursuant to the Transaction Agreement, the investment advisory agreement between the Fund and Oakline terminated at or near the closing of the Transaction (the “Closing”). As a result, the holders of the Fund’s common shares (“Shareholders”) were asked to approve a new investment advisory agreement between the Fund and CGCIM and to approve certain other proposals upon which the Closing was conditioned. The Shareholders approved the new Investment Advisory Agreement and the other proposals at a shareholder meeting on June 15, 2023, followed by the Closing, which occurred on July 14, 2023. In connection with Closing, (i) the Fund sold existing investments with a gross asset value equal to approximately 97% of the total gross asset value of such investments as of August 31, 2022, subject to certain exclusions; (ii) CGCIM replaced Oakline as the Fund’s new investment adviser; (iii) the Fund’s investment strategy was changed to invest primarily in debt and equity tranches issued by collateralized loan obligations; (iv) each of the Fund’s trustees and officers were replaced; (v) the Fund changed its name on July 14, 2023 from Vertical Capital Income Fund to Carlyle Credit Income Fund; and (vi) on July 27, 2023 the Fund’s common shares began trading on NYSE under the symbol “CCIF.” In addition, Shareholders of the Fund received a special one-time payment of $10,000,000 from CGCIM (or one of its affiliates), or approximately $0.96 per common share.</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Following the closing of the Transaction and pursuant to the Transaction Agreement, (i) CG Subsidiary Holdings L.L.C., an affiliate of the Adviser (the “Purchaser”) commenced a tender offer on July 18, 2023 to purchase up to $25,000,000 of outstanding Fund common shares at the then-current net asset value per common share (the “Tender Offer”), and (ii) the Purchaser agreed to invest $15,000,000 into the Fund through the purchase of newly issued Fund common shares at a price equal to the greater of the then-current net asset value per common share and the net asset value per common share that represents the tender offer purchase price (the “New Issuance”), and through acquiring common shares in private purchases (the “Private Purchase”).</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Tender Offer expired on August 28, 2023, and the Purchaser accepted for purchase 3,012,049 common shares at a purchase price of $8.30 per common share for an aggregate purchase price of $25,000,007, excluding fees and expenses relating to the Tender Offer.</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September 12, 2023, the Fund closed the New Issuance and issued and sold 1,269,537 common shares to the Purchaser at a purchase price of $8.52 per common share, which price represented the net asset value per common share as of the closing of the New Issuance, for an aggregate purchase price of $10,816,451.</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September 12, 2023, the Purchaser closed the Private Purchase and acquired 504,042 common shares from existing shareholders of the Fund.</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Prior to the close of business on July 14, 2023, the Fund’s investment objective was to generate income by primarily investing in mortgage notes secured by residential real estate. Following the closing of the Transaction, the Fund’s primary investment objective is to generate current income, with a secondary objective to generate capital appreciation. The Fund seeks to achieve its investment objectives by investing primarily in equity and junior debt tranches of collateralized loan obligations (“CLO”) that are collateralized by a portfolio consisting primarily of below investment grade U.S. senior secured loans with a large number of distinct underlying borrowers across various industry sectors. The Fund may also invest in other related securities and instruments or other securities and instruments that the Adviser believes are consistent with its investment objectives, including senior debt tranches of CLOs, loan accumulation facilities (“LAFs”) and securities issued by other securitization vehicles, such as collateralized bond obligations, or “CBOs.” LAFs are short- to medium-term facilities often provided by the bank that will serve as the placement agent or arranger on a CLO transaction. LAFs typically incur leverage between four and six times equity value prior to a CLO’s pricing. The CLO securities in which the Fund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junior debt securities in which the Fund invests are highly leveraged (with CLO equity securities typically being leveraged ten times), which magnifies the Fund’s risk of loss on such investments.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To qualify as a RIC, the Fund must, among other things, meet certain source-of-income and asset diversification requirements and timely distribute to its shareholders generally at least 90% of its investment company taxable income, as defined by the Code, for each year. Pursuant to this election, the Fund generally does not have to pay corporate level taxes on any income that it distributes to shareholders, provided that the Fund satisfies those requirements.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financial statements have been prepared on the accrual basis of accounting in accordance with accounting principles generally accepted in the United States (“U.S. GAAP”). The Fund is an investment company for the purposes of accounting and financial reporting in accordance with Financial Accounting Standards Board (“FASB”) Accounting Standards Codification (“ASC”) Topic 946, </w:t>
      </w:r>
      <w:r>
        <w:rPr>
          <w:rFonts w:ascii="Times New Roman" w:cs="Times New Roman" w:eastAsia="Times New Roman" w:hAnsi="Times New Roman"/>
          <w:sz w:val="14"/>
          <w:szCs w:val="14"/>
          <w:i w:val="1"/>
          <w:iCs w:val="1"/>
          <w:color w:val="auto"/>
        </w:rPr>
        <w:t>Financial Services—Investment Companies</w:t>
      </w:r>
      <w:r>
        <w:rPr>
          <w:rFonts w:ascii="Times New Roman" w:cs="Times New Roman" w:eastAsia="Times New Roman" w:hAnsi="Times New Roman"/>
          <w:sz w:val="14"/>
          <w:szCs w:val="14"/>
          <w:color w:val="auto"/>
        </w:rPr>
        <w:t xml:space="preserve"> (“ASC 946”)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U.S. GAAP for an investment company requires investments to be recorded at fair value. The carrying value for all other assets and liabilities approximates their fair value. The Fund’s fiscal year ends on September 30, and unless otherwise noted, references to fiscal year or year are for fiscal years ended September 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6"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U.S. GAAP requires management to make assumptions and estimates that affect the reported amounts reported in the financial statements and accompanying notes. Management’s estimates are based on historical experiences and other factors, including expectations of future events that management believes to be reasonable under the circumstances. It also requires management to exercise judgment in the process of applying the Fund’s accounting policies.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 xml:space="preserve">Investment transactions are recorded as of the applicable trade date. Realized gains or losses are measured by the difference between the net proceeds from the repayment or sale and the amortized cost basis of the investment using the specific identification method without regard to unrealized appreciation or depreciation previously recognized, and includes investments charged off during the period, net of recoveries. Net change in unrealized appreciation or depreciation on investments as presented in the accompanying Statement of Operations reflects the net change in the fair value of investments, including the reversal of previously recorded unrealized appreciation or depreciation when gains or losses are realized. See Note 3.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96" w:lineRule="exact"/>
        <w:rPr>
          <w:sz w:val="20"/>
          <w:szCs w:val="20"/>
          <w:color w:val="auto"/>
        </w:rPr>
      </w:pPr>
    </w:p>
    <w:p>
      <w:pPr>
        <w:ind w:right="320" w:firstLine="509"/>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demand deposits and highly liquid investments (e.g., money market funds, U.S. treasury notes) with original maturities of three months or less. The Fund’s cash and cash equivalents are held at one or more large financial institutions and cash held in such financial institutions may, at times, exceed the Federal Deposit Insurance Corporation insured limit. The Fund classifies cash equivalents as Level I in the fair value hierarchy. Cash equivalents are carried at cost or amortized cost which approximates fair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from Investments</w:t>
      </w:r>
    </w:p>
    <w:p>
      <w:pPr>
        <w:spacing w:after="0" w:line="96"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CLO equity investments recognize investment income by utilizing an effective interest methodology based upon an effective yield to maturity utilizing projected cash flow, as required by ASC Topic 325-40, </w:t>
      </w:r>
      <w:r>
        <w:rPr>
          <w:rFonts w:ascii="Times New Roman" w:cs="Times New Roman" w:eastAsia="Times New Roman" w:hAnsi="Times New Roman"/>
          <w:sz w:val="14"/>
          <w:szCs w:val="14"/>
          <w:i w:val="1"/>
          <w:iCs w:val="1"/>
          <w:color w:val="auto"/>
        </w:rPr>
        <w:t>Beneficial Interest in Securitized Financial Assets</w:t>
      </w:r>
      <w:r>
        <w:rPr>
          <w:rFonts w:ascii="Times New Roman" w:cs="Times New Roman" w:eastAsia="Times New Roman" w:hAnsi="Times New Roman"/>
          <w:sz w:val="14"/>
          <w:szCs w:val="14"/>
          <w:color w:val="auto"/>
        </w:rPr>
        <w:t>. The Fund monitors the expected residual payments, and effective yield is determined and updated periodically, as needed. Accordingly, investment income recognized on CLO equity securities in the U.S. GAAP statement of operations differs from both the tax -basis investment income and from the cash distributions actually received by the Fund during the quarterly period.</w:t>
      </w:r>
    </w:p>
    <w:p>
      <w:pPr>
        <w:spacing w:after="0" w:line="56"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Interest income is recorded on an accrual basis and includes the accretion of discounts and amortization of premiums. Discounts from and premiums to par value on debt investments purchased are accreted/amortized into interest income over the life of the respective security using the effective interest method. The amortized cost of debt investments represents the original cost, including origination fees and upfront fees received that are deemed to be an adjustment to yield, adjusted for the accretion of discounts and amortization of premiums, if 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income includes fees received on the exit of one of the two real estate positions the Fund inherited from the VCIF portfolio which were not included in the portfolio sale at Closing.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6"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For federal income tax purposes, the Fund has elected to be treated as a RIC under the Code, and intends to make the required distributions to its shareholders as specified therein. In order to qualify as a RIC, the Fund must meet certain minimum distribution, source-of-income and asset diversification requirements. If such requirements are met, then the Fund is generally required to pay income taxes only on the portion of its taxable income and gains it does not distribute.</w:t>
      </w:r>
    </w:p>
    <w:p>
      <w:pPr>
        <w:spacing w:after="0" w:line="5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minimum distribution requirements applicable to RICs require the Fund to distribute to its shareholders at least 90% of its investment company taxable income (“ICTI”), as defined by the Code, each year (the “Annual Distribution Requirement”). Depending on the level of ICTI earned in a tax year, the Fund may choose to carry forward ICTI in excess of current year distributions into the next tax year. Any such carryover ICTI must be distributed before the end of that next tax year through a dividend declared prior to filing the final tax return related to the year which generated such ICTI.</w:t>
      </w:r>
    </w:p>
    <w:p>
      <w:pPr>
        <w:spacing w:after="0" w:line="5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addition, based on the excise distribution requirements, the Fund is subject to a 4% nondeductible federal excise tax on undistributed income unless the Fund distributes in a timely manner an amount at least equal to the sum of (1) 98% of its ordinary income for each calendar year, (2) 98.2% of capital gain net income (both long-term and short-term) for the one-year period ending October 31 in that calendar year and (3) any income realized, but not distributed, in the preceding year. For this purpose, however, any ordinary income or capital gain net income retained by the Fund that is subject to corporate income tax is considered to have been distributed. The Fund intends to make sufficient distributions each taxable year to satisfy the excise distribution requirements.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Due to timing of dividends and distributions, the fiscal year in which amounts are distributed may differ from the fiscal year in which the income or net realized gain was recorded by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composition of distributions paid to common shareholders from net investment income and capital gains are determined in accordance with U.S. federal income tax regulations, which differ from U.S. GAAP. Distributions to common shareholders can be comprised of net investment income, net realized capital gains and return of capital for U.S. federal income tax purposes and are intended to be paid monthly. Distributions payable to common shareholders are recorded as a liability on ex-dividend date.</w:t>
      </w:r>
    </w:p>
    <w:p>
      <w:pPr>
        <w:spacing w:after="0" w:line="5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Fund has an “opt out” dividend reinvestment plan that provides for reinvestment of dividends and other distributions on behalf of the shareholder, other than those shareholders who have “opted out” of the plan. As a result of adopting the plan, if the Board of Trustees authorizes, and the Fund declares, a cash dividend or distribution, the shareholders who have not elected to “opt out” of the dividend reinvestment plan will have their cash dividends or distributions automatically reinvested in additional shares of the Fund’s shares of beneficial interest, rather than receiving cash. Each registered shareholder may elect to have such shareholder’s dividends and distributions distributed in cash rather than participate in the plan. For any registered shareholder that does not so elect, distributions on such shareholder’s shares will be reinvested by the Transfer Agent, the Fund’s plan administrator, in additional shares. The number of shares to be issued to the shareholder will be determined based on the total dollar amount of the cash distribution payable, net of applicable withholding taxes.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Functional Currency</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functional currency of the Fund is the U.S. Dollar. Investments are generally made in the local currency of the country in which the investments are domiciled and are translated into U.S. Dollars with foreign currency translation gains or losses recorded within net change in unrealized appreciation (depreciation) on investments in the accompanying Statement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Non-recurring fees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Non-recurring fees include fees incurred by VCIF in connection with the closing of the Transaction, including, but not limited to, legal, advisory, and accounting fees.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17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4"/>
          <w:szCs w:val="14"/>
          <w:color w:val="auto"/>
        </w:rPr>
        <w:t xml:space="preserve">The Fund applies fair value accounting in accordance with the terms of FASB 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820”). ASC 820 defines fair value as the amount that would be exchanged to sell an asset or transfer a liability in an orderly transfer between market participants at the measurement date. The Fund values securities/instruments traded in active markets on the measurement date by multiplying the bid price of such traded securities/instruments by the quantity of shares or amount of the instrument held. The Fund may also obtain quotes with respect to certain of its investments, such as its securities/instruments traded in active markets and its liquid securities/instruments that are not traded in active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markets, from pricing services, brokers, or counterparties (i.e., “consensus pricing”). When doing so, the Adviser determines whether the quote obtained is sufficient according to U.S. GAAP to determine the fair value of the security. The Fund may use the quote obtained or alternative pricing sources may be utilized including valuation techniques typically utilized for illiquid securities/instruments.</w:t>
      </w:r>
    </w:p>
    <w:p>
      <w:pPr>
        <w:spacing w:after="0" w:line="136"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4"/>
          <w:szCs w:val="14"/>
          <w:color w:val="auto"/>
        </w:rPr>
        <w:t>The Board of Trustees has designated the Adviser as the Fund’s valuation designee for purposes of Rule 2a-5 under the Investment Company Act to perform the fair value determination of all of the Fund’s assets in accordance with the terms of ASC 820. Securities/instruments that are illiquid or for which the pricing source does not provide a valuation or methodology or provides a valuation or methodology that, in the judgment of the Adviser, does not represent fair value shall each be valued as of the measurement date using all techniques appropriate under the circumstances and for which sufficient data is available. These valuation techniques may vary by investment and include comparable public market valuations, comparable precedent transaction valuations and/or discounted cash flow analyses. The Adviser engages third-party valuation firms to provide independent prices on securities/instruments. The Adviser’s Valuation Committee (the “Valuation Committee”) reviews the assessments of the third-party valuation firms and provides any recommendations with respect to changes to the fair value of each investment in the portfolio and approves the fair value of each investment in the portfolio in good faith based on the input of the third-party valuation firms. If the Adviser reasonably believes a valuation from a pricing vendor is inaccurate or unreliable, the Valuation Committee will consider an “override” of the particular valuation. The Valuation Committee will consider all available information at its disposal prior to making a valuation determination.</w:t>
      </w:r>
    </w:p>
    <w:p>
      <w:pPr>
        <w:spacing w:after="0" w:line="14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U.S. GAAP establishes a hierarchical disclosure framework which ranks the level of observability of market price inputs used in measuring investments at fair value. The observability of inputs is impacted by a number of factors, including the type of investment and the characteristics specific to the investment and state of the marketplace, including the existence and transparency of transactions between market participants. Investments with readily available quoted prices or for which fair value can be measured from quoted prices in active markets generally have a higher degree of market price observability and a lesser degree of judgment applied in determining fair value.</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Investments measured and reported at fair value are classified and disclosed based on the observability of inputs used in determination of fair values, as follows:</w:t>
      </w:r>
    </w:p>
    <w:p>
      <w:pPr>
        <w:spacing w:after="0" w:line="94" w:lineRule="exact"/>
        <w:rPr>
          <w:sz w:val="20"/>
          <w:szCs w:val="20"/>
          <w:color w:val="auto"/>
        </w:rPr>
      </w:pPr>
    </w:p>
    <w:p>
      <w:pPr>
        <w:ind w:left="520" w:right="140" w:hanging="260"/>
        <w:spacing w:after="0" w:line="270" w:lineRule="auto"/>
        <w:tabs>
          <w:tab w:leader="none" w:pos="511"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4"/>
          <w:szCs w:val="14"/>
          <w:color w:val="auto"/>
        </w:rPr>
        <w:t>Level 1—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w:t>
      </w:r>
    </w:p>
    <w:p>
      <w:pPr>
        <w:spacing w:after="0" w:line="50" w:lineRule="exact"/>
        <w:rPr>
          <w:rFonts w:ascii="Arial" w:cs="Arial" w:eastAsia="Arial" w:hAnsi="Arial"/>
          <w:sz w:val="13"/>
          <w:szCs w:val="13"/>
          <w:color w:val="auto"/>
        </w:rPr>
      </w:pPr>
    </w:p>
    <w:p>
      <w:pPr>
        <w:ind w:left="520" w:right="260" w:hanging="260"/>
        <w:spacing w:after="0" w:line="270" w:lineRule="auto"/>
        <w:tabs>
          <w:tab w:leader="none" w:pos="511"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4"/>
          <w:szCs w:val="14"/>
          <w:color w:val="auto"/>
        </w:rPr>
        <w:t>Level 2—inputs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w:t>
      </w:r>
    </w:p>
    <w:p>
      <w:pPr>
        <w:spacing w:after="0" w:line="50" w:lineRule="exact"/>
        <w:rPr>
          <w:rFonts w:ascii="Arial" w:cs="Arial" w:eastAsia="Arial" w:hAnsi="Arial"/>
          <w:sz w:val="13"/>
          <w:szCs w:val="13"/>
          <w:color w:val="auto"/>
        </w:rPr>
      </w:pPr>
    </w:p>
    <w:p>
      <w:pPr>
        <w:ind w:left="520" w:right="100" w:hanging="260"/>
        <w:spacing w:after="0" w:line="270" w:lineRule="auto"/>
        <w:tabs>
          <w:tab w:leader="none" w:pos="511"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4"/>
          <w:szCs w:val="14"/>
          <w:color w:val="auto"/>
        </w:rPr>
        <w:t>Level 3—inputs to the valuation methodology are unobservable and significant to overall fair value measurement. The inputs into the determination of fair value require significant management judgment or estimation. Financial 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w:t>
      </w:r>
    </w:p>
    <w:p>
      <w:pPr>
        <w:spacing w:after="0" w:line="5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Transfers between levels, if any, are recognized at the beginning of the period in which the transfers occur. During the year ended September 30, 2023, there were no transfers.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Fund’s investments measured at fair value on a recurring basis by the above fair value hierarchy levels as of September 30,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2023</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1"/>
        </w:trPr>
        <w:tc>
          <w:tcPr>
            <w:tcW w:w="3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6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2,816,066</w:t>
            </w:r>
          </w:p>
        </w:tc>
        <w:tc>
          <w:tcPr>
            <w:tcW w:w="12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2,816,066</w:t>
            </w:r>
          </w:p>
        </w:tc>
      </w:tr>
      <w:tr>
        <w:trPr>
          <w:trHeight w:val="17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Collateralized Loan Obligations</w:t>
            </w:r>
          </w:p>
        </w:tc>
        <w:tc>
          <w:tcPr>
            <w:tcW w:w="10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91,876,730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91,876,730</w:t>
            </w:r>
          </w:p>
        </w:tc>
      </w:tr>
      <w:tr>
        <w:trPr>
          <w:trHeight w:val="16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0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r>
      <w:tr>
        <w:trPr>
          <w:trHeight w:val="186"/>
        </w:trPr>
        <w:tc>
          <w:tcPr>
            <w:tcW w:w="3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Investments, at Fair Value</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2,816,066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93,876,730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96,692,796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changes in the Fund’s investments at fair value for which the Fund has classified as Level 3 for the year ended September 30, 2023,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 ended September 30, 2023</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Collateralized Loan</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Mortgage Notes</w:t>
            </w:r>
          </w:p>
        </w:tc>
        <w:tc>
          <w:tcPr>
            <w:tcW w:w="12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Other Investments</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Obligations</w:t>
            </w:r>
          </w:p>
        </w:tc>
        <w:tc>
          <w:tcPr>
            <w:tcW w:w="24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Real Estate</w:t>
            </w:r>
          </w:p>
        </w:tc>
        <w:tc>
          <w:tcPr>
            <w:tcW w:w="320" w:type="dxa"/>
            <w:vAlign w:val="bottom"/>
          </w:tcPr>
          <w:p>
            <w:pPr>
              <w:spacing w:after="0"/>
              <w:rPr>
                <w:sz w:val="12"/>
                <w:szCs w:val="12"/>
                <w:color w:val="auto"/>
              </w:rPr>
            </w:pPr>
          </w:p>
        </w:tc>
        <w:tc>
          <w:tcPr>
            <w:tcW w:w="980" w:type="dxa"/>
            <w:vAlign w:val="bottom"/>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6"/>
        </w:trPr>
        <w:tc>
          <w:tcPr>
            <w:tcW w:w="4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beginning of period</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110,163,130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397,716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110,560,846</w:t>
            </w:r>
          </w:p>
        </w:tc>
        <w:tc>
          <w:tcPr>
            <w:tcW w:w="0" w:type="dxa"/>
            <w:vAlign w:val="bottom"/>
          </w:tcPr>
          <w:p>
            <w:pPr>
              <w:spacing w:after="0"/>
              <w:rPr>
                <w:sz w:val="1"/>
                <w:szCs w:val="1"/>
                <w:color w:val="auto"/>
              </w:rPr>
            </w:pPr>
          </w:p>
        </w:tc>
      </w:tr>
      <w:tr>
        <w:trPr>
          <w:trHeight w:val="153"/>
        </w:trPr>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Purchases of investments</w:t>
            </w:r>
          </w:p>
        </w:tc>
        <w:tc>
          <w:tcPr>
            <w:tcW w:w="20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562,362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93,055,279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93,617,641</w:t>
            </w:r>
          </w:p>
        </w:tc>
        <w:tc>
          <w:tcPr>
            <w:tcW w:w="0" w:type="dxa"/>
            <w:vAlign w:val="bottom"/>
          </w:tcPr>
          <w:p>
            <w:pPr>
              <w:spacing w:after="0"/>
              <w:rPr>
                <w:sz w:val="1"/>
                <w:szCs w:val="1"/>
                <w:color w:val="auto"/>
              </w:rPr>
            </w:pPr>
          </w:p>
        </w:tc>
      </w:tr>
      <w:tr>
        <w:trPr>
          <w:trHeight w:val="165"/>
        </w:trPr>
        <w:tc>
          <w:tcPr>
            <w:tcW w:w="4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Proceeds from sales and paydowns of investments </w:t>
            </w:r>
            <w:r>
              <w:rPr>
                <w:rFonts w:ascii="Times New Roman" w:cs="Times New Roman" w:eastAsia="Times New Roman" w:hAnsi="Times New Roman"/>
                <w:sz w:val="14"/>
                <w:szCs w:val="14"/>
                <w:color w:val="auto"/>
                <w:vertAlign w:val="superscript"/>
              </w:rPr>
              <w:t>(1)</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(96,004,514)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(356,390)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(2,177,730)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(98,538,634)</w:t>
            </w:r>
          </w:p>
        </w:tc>
        <w:tc>
          <w:tcPr>
            <w:tcW w:w="0" w:type="dxa"/>
            <w:vAlign w:val="bottom"/>
          </w:tcPr>
          <w:p>
            <w:pPr>
              <w:spacing w:after="0"/>
              <w:rPr>
                <w:sz w:val="1"/>
                <w:szCs w:val="1"/>
                <w:color w:val="auto"/>
              </w:rPr>
            </w:pPr>
          </w:p>
        </w:tc>
      </w:tr>
      <w:tr>
        <w:trPr>
          <w:trHeight w:val="153"/>
        </w:trPr>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realized gains (losses)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(10,733,462)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44,342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(28,875)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(10,717,995)</w:t>
            </w:r>
          </w:p>
        </w:tc>
        <w:tc>
          <w:tcPr>
            <w:tcW w:w="0" w:type="dxa"/>
            <w:vAlign w:val="bottom"/>
          </w:tcPr>
          <w:p>
            <w:pPr>
              <w:spacing w:after="0"/>
              <w:rPr>
                <w:sz w:val="1"/>
                <w:szCs w:val="1"/>
                <w:color w:val="auto"/>
              </w:rPr>
            </w:pPr>
          </w:p>
        </w:tc>
      </w:tr>
      <w:tr>
        <w:trPr>
          <w:trHeight w:val="165"/>
        </w:trPr>
        <w:tc>
          <w:tcPr>
            <w:tcW w:w="4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Accretion of discount (premium)</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627,512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630,511</w:t>
            </w:r>
          </w:p>
        </w:tc>
        <w:tc>
          <w:tcPr>
            <w:tcW w:w="0" w:type="dxa"/>
            <w:vAlign w:val="bottom"/>
          </w:tcPr>
          <w:p>
            <w:pPr>
              <w:spacing w:after="0"/>
              <w:rPr>
                <w:sz w:val="1"/>
                <w:szCs w:val="1"/>
                <w:color w:val="auto"/>
              </w:rPr>
            </w:pPr>
          </w:p>
        </w:tc>
      </w:tr>
      <w:tr>
        <w:trPr>
          <w:trHeight w:val="153"/>
        </w:trPr>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change in unrealized appreciation (depreciation)</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(2,615,028)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1,027,598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(1,675,639)</w:t>
            </w:r>
          </w:p>
        </w:tc>
        <w:tc>
          <w:tcPr>
            <w:tcW w:w="0" w:type="dxa"/>
            <w:vAlign w:val="bottom"/>
          </w:tcPr>
          <w:p>
            <w:pPr>
              <w:spacing w:after="0"/>
              <w:rPr>
                <w:sz w:val="1"/>
                <w:szCs w:val="1"/>
                <w:color w:val="auto"/>
              </w:rPr>
            </w:pPr>
          </w:p>
        </w:tc>
      </w:tr>
      <w:tr>
        <w:trPr>
          <w:trHeight w:val="165"/>
        </w:trPr>
        <w:tc>
          <w:tcPr>
            <w:tcW w:w="4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Deed in Lieu of Foreclosure Transfer</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Balance, end of period</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91,876,730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93,876,730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4600" w:type="dxa"/>
            <w:vAlign w:val="bottom"/>
            <w:gridSpan w:val="2"/>
            <w:shd w:val="clear" w:color="auto" w:fill="CCEEFF"/>
          </w:tcPr>
          <w:p>
            <w:pPr>
              <w:ind w:left="20"/>
              <w:spacing w:after="0" w:line="74" w:lineRule="exact"/>
              <w:rPr>
                <w:sz w:val="20"/>
                <w:szCs w:val="20"/>
                <w:color w:val="auto"/>
              </w:rPr>
            </w:pPr>
            <w:r>
              <w:rPr>
                <w:rFonts w:ascii="Times New Roman" w:cs="Times New Roman" w:eastAsia="Times New Roman" w:hAnsi="Times New Roman"/>
                <w:sz w:val="8"/>
                <w:szCs w:val="8"/>
                <w:color w:val="auto"/>
              </w:rPr>
              <w:t>Net change in unrealized appreciation (depreciation) included in earnings related to investments</w:t>
            </w:r>
          </w:p>
        </w:tc>
        <w:tc>
          <w:tcPr>
            <w:tcW w:w="2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1,027,598</w:t>
            </w:r>
          </w:p>
        </w:tc>
        <w:tc>
          <w:tcPr>
            <w:tcW w:w="80" w:type="dxa"/>
            <w:vAlign w:val="bottom"/>
            <w:shd w:val="clear" w:color="auto" w:fill="CCEEFF"/>
          </w:tcPr>
          <w:p>
            <w:pPr>
              <w:spacing w:after="0"/>
              <w:rPr>
                <w:sz w:val="6"/>
                <w:szCs w:val="6"/>
                <w:color w:val="auto"/>
              </w:rPr>
            </w:pPr>
          </w:p>
        </w:tc>
        <w:tc>
          <w:tcPr>
            <w:tcW w:w="24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(2,003,879)</w:t>
            </w:r>
          </w:p>
        </w:tc>
        <w:tc>
          <w:tcPr>
            <w:tcW w:w="80" w:type="dxa"/>
            <w:vAlign w:val="bottom"/>
            <w:shd w:val="clear" w:color="auto" w:fill="CCEEFF"/>
          </w:tcPr>
          <w:p>
            <w:pPr>
              <w:spacing w:after="0"/>
              <w:rPr>
                <w:sz w:val="6"/>
                <w:szCs w:val="6"/>
                <w:color w:val="auto"/>
              </w:rPr>
            </w:pPr>
          </w:p>
        </w:tc>
        <w:tc>
          <w:tcPr>
            <w:tcW w:w="320" w:type="dxa"/>
            <w:vAlign w:val="bottom"/>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still held at the reporting date</w:t>
            </w:r>
          </w:p>
        </w:tc>
        <w:tc>
          <w:tcPr>
            <w:tcW w:w="200" w:type="dxa"/>
            <w:vAlign w:val="bottom"/>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160" w:hanging="155"/>
        <w:spacing w:after="0"/>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Includes $727,730 of return of capital on CLO investments from recurring cash flows.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generally uses the following framework when determining the fair value of investments that are categorized as Level 3:</w:t>
      </w:r>
    </w:p>
    <w:p>
      <w:pPr>
        <w:spacing w:after="0" w:line="9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fair value of CLOs is estimated based on various valuation models from third-party pricing services. Those analyses consider the current trading activity, position size, liquidity, current financial condition of the CLOs, the third-party financing environment, reinvestment rates, recovery lags, discount rates, and default forecasts. The Fund corroborates quotations from pricing services either with other available pricing data and subsequent or recent trading information. These securities are classified as Level 3.</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quantitative information related to the significant unobservable inputs for Level 3 instruments which are carried at fair value as of September 30,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as of September 30,</w:t>
            </w:r>
          </w:p>
        </w:tc>
        <w:tc>
          <w:tcPr>
            <w:tcW w:w="100" w:type="dxa"/>
            <w:vAlign w:val="bottom"/>
          </w:tcPr>
          <w:p>
            <w:pPr>
              <w:spacing w:after="0"/>
              <w:rPr>
                <w:sz w:val="13"/>
                <w:szCs w:val="13"/>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Valuation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13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55"/>
        </w:trPr>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Techniques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Low</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High</w:t>
            </w:r>
          </w:p>
        </w:tc>
        <w:tc>
          <w:tcPr>
            <w:tcW w:w="10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54"/>
        </w:trPr>
        <w:tc>
          <w:tcPr>
            <w:tcW w:w="2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91,876,730</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Consensus Pricing</w:t>
            </w:r>
          </w:p>
        </w:tc>
        <w:tc>
          <w:tcPr>
            <w:tcW w:w="10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Indicative Quotes</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58.1 %</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89.5 %</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76.2 %</w:t>
            </w:r>
          </w:p>
        </w:tc>
      </w:tr>
      <w:tr>
        <w:trPr>
          <w:trHeight w:val="153"/>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Real Estate</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Market Approach</w:t>
            </w:r>
          </w:p>
        </w:tc>
        <w:tc>
          <w:tcPr>
            <w:tcW w:w="1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Bid Price</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50.0 %</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50.0 %</w:t>
            </w:r>
          </w:p>
        </w:tc>
      </w:tr>
      <w:tr>
        <w:trPr>
          <w:trHeight w:val="17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Level 3 Investments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93,876,730</w:t>
            </w: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Fund’s investments in CLOs are indicative quotes. Significant decreases in indicative quotes may result in a significantly lower fair value measurement. The Fund’s Real Estate investment is being valued based on an indicative bid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RELATED 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Advisory Agreement</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November 28, 2022, the Fund’s Board of Trustees, including a majority of the Trustees who are not “interested persons” as that term is defined in the 1940 Act, as amended, approved the Investment Advisory Agreement, subject to Shareholder approval. The Board weighed a number of factors in reaching its decision to approve the Investment Advisory Agreement, including, without limitation, the history, reputation, and resources of CGCIM, prior performance results achieved by CGCIM, and quality of services to be provided by CGCIM. The Board considered CGCIM’s expertise in managing collateralized loan obligation securities.</w:t>
      </w:r>
    </w:p>
    <w:p>
      <w:pPr>
        <w:spacing w:after="0" w:line="5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Shareholders approved the Investment Advisory Agreement on June 15, 2023 and it became effective on July 14, 2023, at which time the original Investment Advisory Agreement between the Fund and Oakline Advisors, LLC terminated. Pursuant to the Investment Advisory Agreement, by and between the Fund and the Adviser, and in consideration of the advisory services provided by the Adviser to the Fund, the Adviser is entitled to a fee consisting of two components—a base management fee (the “Management Fee”) and an incentive fee (the “Incentive Fee”).</w:t>
      </w:r>
    </w:p>
    <w:p>
      <w:pPr>
        <w:spacing w:after="0" w:line="5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spacing w:after="0" w:line="3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4"/>
          <w:szCs w:val="14"/>
          <w:color w:val="auto"/>
        </w:rPr>
        <w:t>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pays its Adviser an incentive fee with respect to its pre-incentive fee net investment income in each calendar quarter as follows:</w:t>
      </w:r>
    </w:p>
    <w:p>
      <w:pPr>
        <w:spacing w:after="0" w:line="94"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based on pre-incentive fee net investment income in any calendar quarter in which its pre-incentive fee net investment income does not exceed the hurdle rate of 2.00%;</w:t>
      </w:r>
    </w:p>
    <w:p>
      <w:pPr>
        <w:spacing w:after="0" w:line="93"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portion of the Fund’s pre-incentive fee net investment income that exceeds the hurdle rate but is less than or equal to 2.4242% (the “catch-up”) is payable to the Adviser if the Fund’s pre-incentive fee net investment income, expressed as a percentage of the Fund’s net assets in respect of the relevant calendar quarter, exceeds the hurdle rate but is less than or equal to 2.4242% (9.6968% annualized). The “catch-up” provision is intended to provide the Adviser with an incentive fee of 17.5% on all of the Fund’s pre-incentive fee net investment income when the Fund’s pre-incentive fee net investment income reaches 2.4242% of net assets; and</w:t>
      </w:r>
    </w:p>
    <w:p>
      <w:pPr>
        <w:spacing w:after="0" w:line="55" w:lineRule="exact"/>
        <w:rPr>
          <w:rFonts w:ascii="Times New Roman" w:cs="Times New Roman" w:eastAsia="Times New Roman" w:hAnsi="Times New Roman"/>
          <w:sz w:val="14"/>
          <w:szCs w:val="14"/>
          <w:color w:val="auto"/>
        </w:rPr>
      </w:pPr>
    </w:p>
    <w:p>
      <w:pPr>
        <w:ind w:left="520" w:right="100" w:hanging="260"/>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of the portion of the Fund’s pre-incentive fee net investment income that exceeds the “catch-up” will be payable to the Adviser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the Adviser.</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period from July 14, 2023 to September 30, 2023, the Fund did not earn base management fees in excess of the waiver as described in the ‘Expense Limitation Agreement’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 from July 14, 2023 to September 30, 2023, the Fund did not earn incentive fees related to pre-incentive fee net investment income.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2023, there were no management fees payable or incentive fees payable included in the accompanying Statement of Assets and Liabilities.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the original Investment Advisory Agreement between the Fund and Oakline Advisors, LLC, the Fund paid Oakline a management fee, computed and accrued daily and paid monthly, at an annual rate of 1.25% of the average daily net assets of the Fund. For the period from October 1, 2022 to July 14, 2023, Oakline earned management fees of $1,020,773. Oakline had contractually agreed to waive all or part of its management fees and/or make payments to limit Fund expenses so that the total annual operating expenses of the Fund did not exceed 2.50% of the average daily net assets.. For the period October 1, 2022 to July 14, 2023, Oakline waived $362,616.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 Limitation Agreement</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Adviser and the Fund entered into an Expense Limitation Agreement under which the Adviser has agreed contractually to waive its Management Fee and/or reimburse the Fund’s operating expenses on a monthly basis to the extent that the Fund’s monthly total annualized fund operating expenses (excluding (i) expenses directly related to the costs of making investments, including interest and structuring costs for borrowings and line(s) of credit, taxes, brokerage costs, the Fund’s proportionate share of expenses related to co-investments, litigation and extraordinary expenses, (ii) Incentive Fees, expenses related to equity or debt offerings, and (iii) expenses associated with the Transaction Agreement, including expenses related to the liquidation as defined therein) in respect of the relevant month not to exceed 2.50% of the Fund’s average daily net assets. The Expense Limitation Agreement terminated based on its terms on August 17, 2023, which was the date that 75% of the Fund’s gross assets were invested in collateralized loan obligation equity and debt investments. Pursuant to the Expense Limitation Agreement, $346,880 in expenses were waived or reimbursed.</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CGCIM also has a Fee Waiver Agreement under which it has agreed to irrevocably waive the portion of its management and incentive fees on Fund managed assets invested in exchange traded funds through January 12, 2024, as the Fund’s portfolio transitions to the new investment strategy. CGCIM is not entitled to recoup any waived fees under the Fee Waiver Agreement.</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w:t>
      </w:r>
      <w:r>
        <w:rPr>
          <w:rFonts w:ascii="Arial" w:cs="Arial" w:eastAsia="Arial" w:hAnsi="Arial"/>
          <w:sz w:val="12"/>
          <w:szCs w:val="12"/>
          <w:color w:val="auto"/>
        </w:rPr>
        <w:t>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of Trustees</w:t>
      </w:r>
    </w:p>
    <w:p>
      <w:pPr>
        <w:spacing w:after="0" w:line="96"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Fund’s Board of Trustees currently consists of five members, three of whom are Independent Trustees. The Board of Trustees has established an Audit Committee, a Nominating and Governance Committee and an Independent Trustees Committee, the members of each of which consist entirely of the Fund’s Independent Trustees. The Board of Trustees may establish additional committees in the future. For the period from July 14, 2023, to September 30, 2023, the Fund incurred $32,972 in fees and expenses associated with its Independent Trustees' services on the Fund's Board of Trustees and its committees. As of September 30, 2023, no fees or expenses associated with the Fund’s Independent Trustees were payable.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Concentration</w:t>
      </w:r>
    </w:p>
    <w:p>
      <w:pPr>
        <w:spacing w:after="0" w:line="96"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Related parties owned approximately 41% of the Fund's total outstanding shares as of September 30, 2023. Related parties may include, but are not limited to, the Adviser and its affiliates, affiliated broker dealers, fund of funds, and directors or employees.</w:t>
      </w:r>
    </w:p>
    <w:p>
      <w:pPr>
        <w:spacing w:after="0" w:line="37" w:lineRule="exact"/>
        <w:rPr>
          <w:sz w:val="20"/>
          <w:szCs w:val="20"/>
          <w:color w:val="auto"/>
        </w:rPr>
      </w:pPr>
    </w:p>
    <w:p>
      <w:pPr>
        <w:ind w:right="10080" w:firstLine="5"/>
        <w:spacing w:after="0" w:line="379" w:lineRule="auto"/>
        <w:tabs>
          <w:tab w:leader="none" w:pos="141"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 FACTORS Investment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Portfolio Fair Value Risk</w:t>
      </w:r>
    </w:p>
    <w:p>
      <w:pPr>
        <w:spacing w:after="0" w:line="9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Under the Investment Company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w:t>
      </w:r>
    </w:p>
    <w:p>
      <w:pPr>
        <w:spacing w:after="0" w:line="5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Potential Conflicts of Interest Risk—Allocation of Investment Opportunities</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Adviser has adopted allocation procedures that are intended to treat each fund they advise in a manner that, over a period of time, is fair and equitable. The Adviser and its affiliates currently provide investment advisory and administration services and may provide in the future similar services to other entities (collectively, “Advised Funds”).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 (d) 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 of such security; (vi) the nature of the security or the transaction, including minimum investment amounts and the source of the opportunity; (vii) current and anticipated market and general economic conditions; (viii) existing positions in a borrower/loan/security; and (ix) prior positions in a borrower/loan/security. Nevertheless, it is possible that the Fund may not be given the opportunity to participate in certain investments made by investment funds managed by investment managers affiliated with the Adviser.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Collateralized Loan Obligations</w:t>
      </w:r>
    </w:p>
    <w:p>
      <w:pPr>
        <w:spacing w:after="0" w:line="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The Fund invests in CLOs.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Covenant-Lite Loans Risk</w:t>
      </w:r>
    </w:p>
    <w:p>
      <w:pPr>
        <w:spacing w:after="0" w:line="96" w:lineRule="exact"/>
        <w:rPr>
          <w:sz w:val="20"/>
          <w:szCs w:val="20"/>
          <w:color w:val="auto"/>
        </w:rPr>
      </w:pPr>
    </w:p>
    <w:p>
      <w:pPr>
        <w:ind w:right="40" w:firstLine="141"/>
        <w:spacing w:after="0" w:line="261" w:lineRule="auto"/>
        <w:rPr>
          <w:sz w:val="20"/>
          <w:szCs w:val="20"/>
          <w:color w:val="auto"/>
        </w:rPr>
      </w:pPr>
      <w:r>
        <w:rPr>
          <w:rFonts w:ascii="Times New Roman" w:cs="Times New Roman" w:eastAsia="Times New Roman" w:hAnsi="Times New Roman"/>
          <w:sz w:val="14"/>
          <w:szCs w:val="14"/>
          <w:color w:val="auto"/>
        </w:rPr>
        <w:t>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Subordinated Securities</w:t>
      </w:r>
    </w:p>
    <w:p>
      <w:pPr>
        <w:spacing w:after="0" w:line="9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High Yield Investment Risk</w:t>
      </w:r>
    </w:p>
    <w:p>
      <w:pPr>
        <w:spacing w:after="0" w:line="96"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CLO equity and junior debt securities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Default Risk</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will be subject to risks associated with defaults on an underlying asset held by a CLO.</w:t>
      </w:r>
    </w:p>
    <w:p>
      <w:pPr>
        <w:spacing w:after="0" w:line="94" w:lineRule="exact"/>
        <w:rPr>
          <w:sz w:val="20"/>
          <w:szCs w:val="20"/>
          <w:color w:val="auto"/>
        </w:rPr>
      </w:pPr>
    </w:p>
    <w:p>
      <w:pPr>
        <w:ind w:left="1020" w:right="60" w:hanging="251"/>
        <w:spacing w:after="0" w:line="256" w:lineRule="auto"/>
        <w:tabs>
          <w:tab w:leader="none" w:pos="10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w:t>
      </w:r>
    </w:p>
    <w:p>
      <w:pPr>
        <w:spacing w:after="0" w:line="65" w:lineRule="exact"/>
        <w:rPr>
          <w:rFonts w:ascii="Times New Roman" w:cs="Times New Roman" w:eastAsia="Times New Roman" w:hAnsi="Times New Roman"/>
          <w:sz w:val="14"/>
          <w:szCs w:val="14"/>
          <w:color w:val="auto"/>
        </w:rPr>
      </w:pPr>
    </w:p>
    <w:p>
      <w:pPr>
        <w:jc w:val="both"/>
        <w:ind w:left="1020" w:right="100" w:hanging="251"/>
        <w:spacing w:after="0" w:line="270" w:lineRule="auto"/>
        <w:tabs>
          <w:tab w:leader="none" w:pos="10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of the principal of such asset. Any such reduction in interest rates or principal will negatively affect the fair value of the Fund’s portfolio.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Non-Diversification Risk</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is a non-diversified investment company under the 1940 Act and expects to hold a narrower range of investments than a diversified fund under the 1940 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Leverage Risk</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use of leverage, whether directly or indirectly through investments such as CLO equity or junior debt securities that inherently involve leverage, may magnify the Fund’s risk of loss. CLO equity or junior debt securities are very highly leveraged (with CLO equity securities typically being leveraged ten times), and therefore the CLO securities in which the Fund invests are subject to a higher degree of loss since the use of leverage magnifies losses.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Management Personnel of the Adviser</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Conflicts of Interest Risk</w:t>
      </w:r>
    </w:p>
    <w:p>
      <w:pPr>
        <w:spacing w:after="0" w:line="96"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4"/>
          <w:szCs w:val="14"/>
          <w:color w:val="auto"/>
        </w:rPr>
        <w:t>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Risk</w:t>
      </w:r>
    </w:p>
    <w:p>
      <w:pPr>
        <w:spacing w:after="0" w:line="9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Generally, there is no public market for the CLO investments the Fund targets. As such, the Fund may not be able to sell such investments quickly, or at all. If the Fund is able to sell such investments, the prices the Fund receives may not reflect the Adviser’s assessment of their fair value or the amount paid for such investments by the Fund.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Adviser’s Incentive Fee Risk</w:t>
      </w:r>
    </w:p>
    <w:p>
      <w:pPr>
        <w:spacing w:after="0" w:line="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Risks</w:t>
      </w:r>
    </w:p>
    <w:p>
      <w:pPr>
        <w:spacing w:after="0" w:line="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an escalation in conflict between Russia and Ukraine, could lead to disruption, instability and volatility in the global markets. Unfavorable economic conditions also would be expected to increase our funding costs, limit our access to the capital markets or result in a decision by lenders not to extend credit to us.</w:t>
      </w:r>
    </w:p>
    <w:p>
      <w:pPr>
        <w:spacing w:after="0" w:line="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Current and historic market turmoil has illustrated that market environments may, at any time, be characterized by uncertainty, volatility and instability. For example, the outbreak of COVID-19 caused materially reduced consumer demand and economic output, disrupting supply chains, resulting in market closures, travel restrictions and quarantines, and adversely impacting local and global economies. As with other serious economic disruptions, governmental authorities and regulators are responding to this crisis with significant fiscal and monetary policy changes, including by providing direct capital infusions into companies, introducing new monetary programs and considerably lowering interest rates, which, in some cases resulted in negative interest rates.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Risk</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senior secured loans underlying the CLOs in which the Fund invests typically have floating interest rates. A rising interest rate environment may increase loan defaults, resulting in losses for the CLOs in which the Fund invests. In addition, increasing interest rates may lead to higher prepayment rates, as corporate borrowers look to avoid escalating interest payments or refinance floating rate loans.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the Fund holds.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Transition from LIBOR Risk</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Although The London Interbank Offered Rate (“LIBOR”) is no longer published as of June 30, 2023, certain CLO securities in which we invest may continue to earn interest at (or, from the perspective of the Fund as CLO equity investor, obtain financing at) a floating rate based on LIBOR. LIBOR and other inter-bank lending rates and indices (together with LIBOR, the “IBORs”) are the subject of ongoing national and international regulatory reform. Most, but not all, LIBOR settings are now transitioned to alternative near risk-free rates (“RFRs”).</w:t>
      </w:r>
    </w:p>
    <w:p>
      <w:pPr>
        <w:spacing w:after="0" w:line="5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It is expected that many new financing arrangements entered into by the Fund will therefore likely reference an RFR as the applicable interest rate. The RFRs are conceptually and operationally different from LIBOR. For example, overnight rate RFRs may only be determinable on a ‘backward’ looking basis and therefore are only known at the end of an interest period, whereas LIBOR is a ‘forward’ looking rate. Moreover, certain RFRs (such as Secured Overnight Financing Rate or “SOFR” for U.S. dollar debt) are not well established in the market, and all RFRs remain novel in comparison to LIBOR. There consequently remains some uncertainty as to what the economic, accounting, commercial, tax and legal implications of the use of RFRs will be and how they will perform over significant time periods, particularly as market participants are still becoming accustomed to the use of such benchmarks. As a result, it is possible that the use of RFRs may have an adverse effect on the Fund.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Risk</w:t>
      </w:r>
    </w:p>
    <w:p>
      <w:pPr>
        <w:spacing w:after="0" w:line="96"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Government regulation and/or intervention may change the way the Fund is regulated, affect the expenses incurred directly by the Fund, affect the value of its investments and limit the Fund’s ability to achieve its investment objective. Government regulation may change frequently and may have significant adverse consequences. Moreover, government regulation may have unpredictable and unintended effects. In addition to exposing the Fund to potential new costs and expenses, additional regulation or changes to existing regulation may also require changes to the Fund’s investment practices.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Credit risk relates to the ability of the borrower under an instrument to make interest and principal payments as they become due. If (1) a CLO in which the Fund invests, (2) an underlying asset of any such CLO or (3) any other type of credit investment in the Fund’s portfolio declines in price or fails to pay interest or principal when due because the issuer or debtor, as the case may be, experiences a decline in its financial status, our income, NAV and/or market price would be adversely impacted.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Spread Risk</w:t>
      </w:r>
    </w:p>
    <w:p>
      <w:pPr>
        <w:spacing w:after="0" w:line="9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Credit spread risk is the risk that credit spreads (i.e., the difference in yield between securities that is due to differences in their credit quality) may increase when the market expects below-investment-grade bonds to default more frequently. Widening credit spreads may quickly reduce the market values of below-investment-grade and unrated securities. In recent years, the U.S. capital markets experienced extreme volatility and disruption following the spread of COVID-19, which increased the spread between yields realized on risk-free and higher risk securities, resulting in illiquidity in parts of the capital markets. Central banks and governments played a key role in reintroducing liquidity to parts of the capital markets. Future exits of these financial institutions from the market may reintroduce temporary illiquidity. These and future market disruptions and/or illiquidity would be expected to have an adverse effect on the Fund’s business, financial condition, results of operations and cash flows.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Prepayment Risk</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assets underlying the CLO securities are subject to prepayment by the underlying corporate borrowers. In addition, the CLO securities and related investments are subject to prepayment risk. If the Fund or a CLO collateral manager is unable to reinvest prepaid amounts in a new investment with an expected rate of return at least equal to that of the investment repaid, the Fund’s investment performance will be adversely impacted.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Volatility Risk</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Risk</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Equity risk relates to the change in value of equity securities as they relate to increases or decreases in the general market.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Exchange Rate Risk</w:t>
      </w:r>
    </w:p>
    <w:p>
      <w:pPr>
        <w:spacing w:after="0" w:line="9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Foreign exchange rate risk relates to the change in the U.S. dollar value of a security held that is denominated in a foreign currency. The U.S. dollar value of a foreign currency denominated security will decrease as the dollar appreciates against the currency, while the U.S. dollar value will increase as the dollar depreciates against the currency.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w:t>
      </w:r>
    </w:p>
    <w:p>
      <w:pPr>
        <w:spacing w:after="0" w:line="96" w:lineRule="exact"/>
        <w:rPr>
          <w:sz w:val="20"/>
          <w:szCs w:val="20"/>
          <w:color w:val="auto"/>
        </w:rPr>
      </w:pPr>
    </w:p>
    <w:p>
      <w:pPr>
        <w:ind w:firstLine="573"/>
        <w:spacing w:after="0" w:line="261" w:lineRule="auto"/>
        <w:rPr>
          <w:sz w:val="20"/>
          <w:szCs w:val="20"/>
          <w:color w:val="auto"/>
        </w:rPr>
      </w:pPr>
      <w:r>
        <w:rPr>
          <w:rFonts w:ascii="Times New Roman" w:cs="Times New Roman" w:eastAsia="Times New Roman" w:hAnsi="Times New Roman"/>
          <w:sz w:val="14"/>
          <w:szCs w:val="14"/>
          <w:color w:val="auto"/>
        </w:rPr>
        <w:t>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BORROWINGS</w:t>
      </w:r>
    </w:p>
    <w:p>
      <w:pPr>
        <w:spacing w:after="0" w:line="96"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the Investment Company Act, the Fund is currently only allowed to borrow amounts such that its asset coverage, as defined in the Investment Company Act, is at least 300% after such borrowing. As of September 30, 2023, the Fund did not have any borrowings.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w:t>
      </w:r>
    </w:p>
    <w:p>
      <w:pPr>
        <w:spacing w:after="0" w:line="9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On July 21, 2021, the Fund entered into an amended and restated revolving line of credit agreement with Nexbank for investment purposes and to help maintain the Fund’s liquidity, subject to the limitations of the 1940 Act for borrowings. The maximum amount of borrowing allowed under the amended and restated agreement was the lesser of $35 million or 75% of the eligible portion of the Fund’s loans. Borrowings under the amended and restated Nexbank agreement bear interest at a rate equal to the Prime Rate plus applicable margin of 0.5%, per annum, on the outstanding principal balance. The Nexbank agreement matured on July 18, 2023 and had a one year extension available. The Nexbank agreement was secured by assets of the Fund.</w:t>
      </w:r>
    </w:p>
    <w:p>
      <w:pPr>
        <w:spacing w:after="0" w:line="5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outstanding balance under the NexBank line of credit of $1,000,000 and all unpaid interest as of July 5, 2023 was repaid in connection with the Transaction Agreement, and thus was terminated as of this date. Amortization of deferred financing fees was $43,198 during the period from October 1, 2022 to July 5, 2023. The weighted average interest rate was 7.83% for total interest expense of $296,267, and the average amount of borrowing outstanding for the period was $4,200,000.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COMMITMENTS AND CONTINGENCIES</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CAPITAL</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has an unlimited amount of common shares, no par value, authorized and 11,725,357 issued and outstanding. Transactions in common shares for the year ended September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20" w:type="dxa"/>
            <w:vAlign w:val="bottom"/>
          </w:tcPr>
          <w:p>
            <w:pPr>
              <w:spacing w:after="0"/>
              <w:rPr>
                <w:sz w:val="12"/>
                <w:szCs w:val="12"/>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Year ended September 30, 2023</w:t>
            </w:r>
          </w:p>
        </w:tc>
      </w:tr>
      <w:tr>
        <w:trPr>
          <w:trHeight w:val="20"/>
        </w:trPr>
        <w:tc>
          <w:tcPr>
            <w:tcW w:w="84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9"/>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Shares</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10,380,003</w:t>
            </w:r>
          </w:p>
        </w:tc>
      </w:tr>
      <w:tr>
        <w:trPr>
          <w:trHeight w:val="17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through dividend reinvestment</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75,817</w:t>
            </w:r>
          </w:p>
        </w:tc>
      </w:tr>
      <w:tr>
        <w:trPr>
          <w:trHeight w:val="168"/>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pursuant to the Transaction Agreement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1,269,537</w:t>
            </w:r>
          </w:p>
        </w:tc>
      </w:tr>
      <w:tr>
        <w:trPr>
          <w:trHeight w:val="17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Shares</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11,725,357</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TAX</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The Fund has not recorded a liability for any uncertain tax positions pursuant to the provisions of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 of September 30, 2023.</w:t>
      </w:r>
    </w:p>
    <w:p>
      <w:pPr>
        <w:spacing w:after="0" w:line="96"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the Fund is subject to examination by federal and certain state, local and foreign tax regulators. The Fund’s federal tax returns are generally subject to examination by the Internal Revenue Service for a period of three years after they are filed.</w:t>
      </w:r>
    </w:p>
    <w:p>
      <w:pPr>
        <w:spacing w:after="0" w:line="3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tax components of capital shown in the following table represent distribution requirements the Fund must satisfy under the income tax regulations, losses the Fund may be able to offset against income and gains realized in future years and unrealized appreciation or depreciation of securities and other investments for federal income tax purposes. The capital loss carryforward is subject to limitations in future years under the Code and related regulations.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Loss</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Post October Loss and Late</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Unrealized Depreciation Based on Cost of</w:t>
            </w:r>
          </w:p>
        </w:tc>
        <w:tc>
          <w:tcPr>
            <w:tcW w:w="0" w:type="dxa"/>
            <w:vAlign w:val="bottom"/>
          </w:tcPr>
          <w:p>
            <w:pPr>
              <w:spacing w:after="0"/>
              <w:rPr>
                <w:sz w:val="1"/>
                <w:szCs w:val="1"/>
                <w:color w:val="auto"/>
              </w:rPr>
            </w:pPr>
          </w:p>
        </w:tc>
      </w:tr>
      <w:tr>
        <w:trPr>
          <w:trHeight w:val="138"/>
        </w:trPr>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Distributable Earnings</w:t>
            </w:r>
          </w:p>
        </w:tc>
        <w:tc>
          <w:tcPr>
            <w:tcW w:w="2040" w:type="dxa"/>
            <w:vAlign w:val="bottom"/>
            <w:gridSpan w:val="2"/>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Timing Differences</w:t>
            </w:r>
          </w:p>
        </w:tc>
        <w:tc>
          <w:tcPr>
            <w:tcW w:w="30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Securities and Other Investments for Federal</w:t>
            </w:r>
          </w:p>
        </w:tc>
        <w:tc>
          <w:tcPr>
            <w:tcW w:w="0" w:type="dxa"/>
            <w:vAlign w:val="bottom"/>
          </w:tcPr>
          <w:p>
            <w:pPr>
              <w:spacing w:after="0"/>
              <w:rPr>
                <w:sz w:val="1"/>
                <w:szCs w:val="1"/>
                <w:color w:val="auto"/>
              </w:rPr>
            </w:pPr>
          </w:p>
        </w:tc>
      </w:tr>
      <w:tr>
        <w:trPr>
          <w:trHeight w:val="191"/>
        </w:trPr>
        <w:tc>
          <w:tcPr>
            <w:tcW w:w="2080" w:type="dxa"/>
            <w:vAlign w:val="bottom"/>
            <w:gridSpan w:val="2"/>
            <w:vMerge w:val="continue"/>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Loss</w:t>
            </w:r>
          </w:p>
        </w:tc>
        <w:tc>
          <w:tcPr>
            <w:tcW w:w="2100" w:type="dxa"/>
            <w:vAlign w:val="bottom"/>
            <w:gridSpan w:val="2"/>
            <w:vMerge w:val="continue"/>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Tax Purposes</w:t>
            </w:r>
          </w:p>
        </w:tc>
        <w:tc>
          <w:tcPr>
            <w:tcW w:w="0" w:type="dxa"/>
            <w:vAlign w:val="bottom"/>
          </w:tcPr>
          <w:p>
            <w:pPr>
              <w:spacing w:after="0"/>
              <w:rPr>
                <w:sz w:val="1"/>
                <w:szCs w:val="1"/>
                <w:color w:val="auto"/>
              </w:rPr>
            </w:pPr>
          </w:p>
        </w:tc>
      </w:tr>
      <w:tr>
        <w:trPr>
          <w:trHeight w:val="171"/>
        </w:trPr>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$(11,182,904)</w:t>
            </w:r>
          </w:p>
        </w:tc>
        <w:tc>
          <w:tcPr>
            <w:tcW w:w="1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$(1,159,119)</w:t>
            </w:r>
          </w:p>
        </w:tc>
        <w:tc>
          <w:tcPr>
            <w:tcW w:w="80" w:type="dxa"/>
            <w:vAlign w:val="bottom"/>
            <w:tcBorders>
              <w:top w:val="single" w:sz="8" w:color="CCEEFF"/>
            </w:tcBorders>
            <w:shd w:val="clear" w:color="auto" w:fill="CCEEFF"/>
          </w:tcPr>
          <w:p>
            <w:pPr>
              <w:spacing w:after="0"/>
              <w:rPr>
                <w:sz w:val="14"/>
                <w:szCs w:val="14"/>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$(976,281)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180" w:firstLine="509"/>
        <w:spacing w:after="0" w:line="264" w:lineRule="auto"/>
        <w:rPr>
          <w:sz w:val="20"/>
          <w:szCs w:val="20"/>
          <w:color w:val="auto"/>
        </w:rPr>
      </w:pPr>
      <w:r>
        <w:rPr>
          <w:rFonts w:ascii="Times New Roman" w:cs="Times New Roman" w:eastAsia="Times New Roman" w:hAnsi="Times New Roman"/>
          <w:sz w:val="14"/>
          <w:szCs w:val="14"/>
          <w:color w:val="auto"/>
        </w:rPr>
        <w:t>Net investment income (loss) and net realized gain (loss) may differ for financial statement and tax purposes. The character of dividends and distributions made during the fiscal year from net investment income or net realized gains are determined in accordance with federal income tax requirements, which may differ from the character of net investment income or net realized gains presented in those financial statements in accordance with U.S. GAAP. Also, due to timing of dividends and distributions, the fiscal year in which amounts are distributed may differ from the fiscal year in which the income or net realized gain was recorded by the Fund.</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Accordingly, the following amounts have been reclassified for the reporting period. Net assets of the Fund were unaffected by the reclassifications.</w:t>
      </w:r>
    </w:p>
    <w:p>
      <w:pPr>
        <w:spacing w:after="0" w:line="123" w:lineRule="exact"/>
        <w:rPr>
          <w:sz w:val="20"/>
          <w:szCs w:val="20"/>
          <w:color w:val="auto"/>
        </w:rPr>
      </w:pPr>
    </w:p>
    <w:tbl>
      <w:tblPr>
        <w:tblLayout w:type="fixed"/>
        <w:tblInd w:w="2480" w:type="dxa"/>
        <w:tblCellMar>
          <w:top w:w="0" w:type="dxa"/>
          <w:left w:w="0" w:type="dxa"/>
          <w:bottom w:w="0" w:type="dxa"/>
          <w:right w:w="0" w:type="dxa"/>
        </w:tblCellMar>
      </w:tblPr>
      <w:tr>
        <w:trPr>
          <w:trHeight w:val="186"/>
        </w:trPr>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Reduction to Paid-in-Capital</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Retained Earnings</w:t>
            </w:r>
          </w:p>
        </w:tc>
      </w:tr>
      <w:tr>
        <w:trPr>
          <w:trHeight w:val="171"/>
        </w:trPr>
        <w:tc>
          <w:tcPr>
            <w:tcW w:w="3380" w:type="dxa"/>
            <w:vAlign w:val="bottom"/>
            <w:tcBorders>
              <w:top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$2,942,453</w:t>
            </w:r>
          </w:p>
        </w:tc>
        <w:tc>
          <w:tcPr>
            <w:tcW w:w="80" w:type="dxa"/>
            <w:vAlign w:val="bottom"/>
            <w:tcBorders>
              <w:top w:val="single" w:sz="8" w:color="CCEEFF"/>
            </w:tcBorders>
            <w:shd w:val="clear" w:color="auto" w:fill="CCEEFF"/>
          </w:tcPr>
          <w:p>
            <w:pPr>
              <w:spacing w:after="0"/>
              <w:rPr>
                <w:sz w:val="14"/>
                <w:szCs w:val="14"/>
                <w:color w:val="auto"/>
              </w:rPr>
            </w:pPr>
          </w:p>
        </w:tc>
        <w:tc>
          <w:tcPr>
            <w:tcW w:w="3360" w:type="dxa"/>
            <w:vAlign w:val="bottom"/>
            <w:tcBorders>
              <w:top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rPr>
              <w:t>$2,942,453</w:t>
            </w: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tax character of dividends paid on common shares for the years ended September 30, 2023 and September 30, 2022 were as follows:</w:t>
      </w:r>
    </w:p>
    <w:p>
      <w:pPr>
        <w:spacing w:after="0" w:line="12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15875</wp:posOffset>
            </wp:positionV>
            <wp:extent cx="21761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0" w:lineRule="exact"/>
        <w:rPr>
          <w:sz w:val="20"/>
          <w:szCs w:val="20"/>
          <w:color w:val="auto"/>
        </w:rPr>
      </w:pPr>
    </w:p>
    <w:p>
      <w:pPr>
        <w:ind w:left="850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income</w:t>
            </w: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4,512,176</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9,452,773</w:t>
            </w:r>
          </w:p>
        </w:tc>
      </w:tr>
      <w:tr>
        <w:trPr>
          <w:trHeight w:val="184"/>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return of capital</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4,166,758</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912,958</w:t>
            </w:r>
          </w:p>
        </w:tc>
      </w:tr>
    </w:tbl>
    <w:p>
      <w:pPr>
        <w:spacing w:after="0" w:line="14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aggregate cost of securities and other investments and the composition of unrealized appreciation and depreciation of securities and other investments for federal income tax purposes at period end are noted in the following table. The primary difference between book and tax appreciation or depreciation of securities and other investments, if applicable, is attributable to the partnerships and non-deductible expenses adjustments</w:t>
      </w:r>
    </w:p>
    <w:p>
      <w:pPr>
        <w:spacing w:after="0" w:line="6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September</w:t>
            </w:r>
          </w:p>
        </w:tc>
      </w:tr>
      <w:tr>
        <w:trPr>
          <w:trHeight w:val="188"/>
        </w:trPr>
        <w:tc>
          <w:tcPr>
            <w:tcW w:w="48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30, 2023</w:t>
            </w:r>
          </w:p>
        </w:tc>
      </w:tr>
      <w:tr>
        <w:trPr>
          <w:trHeight w:val="17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tax cost of securities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97,618,986</w:t>
            </w:r>
          </w:p>
        </w:tc>
      </w:tr>
      <w:tr>
        <w:trPr>
          <w:trHeight w:val="171"/>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unrealized appreciation</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1,715,684</w:t>
            </w:r>
          </w:p>
        </w:tc>
      </w:tr>
      <w:tr>
        <w:trPr>
          <w:trHeight w:val="180"/>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unrealized depreciation</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(2,691,965)</w:t>
            </w: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depreciation</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(976,281)</w:t>
            </w:r>
          </w:p>
        </w:tc>
      </w:tr>
      <w:tr>
        <w:trPr>
          <w:trHeight w:val="20"/>
        </w:trPr>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CHANGE IN INDEPENDENT ACCOUNTANT</w:t>
      </w:r>
    </w:p>
    <w:p>
      <w:pPr>
        <w:spacing w:after="0" w:line="96"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On July 17, 2023, Grant Thornton LLP (“Grant Thornton”) was dismissed as the independent registered public accountants of the Fund upon the appointment of CGCIM as the Adviser and the appointment of Ernst &amp; Young LLP (“E&amp;Y”) as the independent registered public accountants of the Fund by the audit committee. Upon the recommendation of the audit committee, on July 17, 2023, the Board selected E&amp;Y as the independent registered public accounting firm to audit the books and records of the Fund for the fiscal year ended September 30, 2023. Grant Thornton’s reports on the financial statements of the Fund for the past two years did not contain an adverse opinion or disclaimer of opinion, and were not qualified or modified as to uncertainty, audit scope or accounting principles. During the period Grant Thornton was engaged, there were no disagreements with Grant Thornton on any matter of accounting principles or practices, financial statement disclosure, or auditing scope or procedure which, if not resolved to Grant Thornton’s satisfaction, would have caused it to make reference to that matter in connection with its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9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On October 4, 2023, the Fund entered into an Equity Distribution Agreement with Ladenburg Thalmann &amp; Co. Inc, B. Riley Securities, Inc., and Oppenheimer &amp; Co Inc. (the “Placement Agents”) that allows for the offer and sale of up to $75,000,000 aggregate amount of the Fund’s common shares, through the Placement Agents, made by an at-the-market offering as defined in Rule 415 under the Securities Act of 1933.</w:t>
      </w:r>
    </w:p>
    <w:p>
      <w:pPr>
        <w:spacing w:after="0" w:line="5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On October 24, 2023, the Fund issued 1,200,000 shares of 8.75% Series A Term Preferred Shares due October 31, 2028, for aggregate gross proceeds of $30,000,000. On November 6, 2023, pursuant to the overallotment option granted to the Underwriters in the Underwriting Agreement, dated October 18, 2023, the Fund issued 80,000 additional shares for gross proceeds of $2,000,000. The shares are listed on the New York Stock Exchange under the symbol “CCIA”. Dividends will be payable monthly in arrears. The first dividend will be paid on November 30, 2023 to holders of record of such Series A Preferred Shares on November 10, 2023, at a rate of $0.218750 per share, and will cover the period of October 24, 2023 to November 30, 2023.</w:t>
      </w:r>
    </w:p>
    <w:p>
      <w:pPr>
        <w:spacing w:after="0" w:line="56"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On October 31, 2023, the Fund paid a monthly dividend of $0.0994 per common share to holders of record on October 19, 2023. Additionally, and as previously announced, the Fund declared dividends of $0.0994 per share of common shares payable on November 30, 2023, to holders of record on November 17, 2023.</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On November 21, 2023, the Fund priced an offering of an additional 800,000 8.75% Series A Term Preferred Shares due October 31, 2028, for gross proceeds of $20,000,000. The offering is expected to close on or about November 30, 2023, subject to customary closing conditions.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Fund evaluated subsequent events through the date the financial statements were issued and noted no other events that require recognition or disclosure in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8"/>
              </w:rPr>
              <w:t>Year ended September 30,</w:t>
            </w: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3"/>
        </w:trPr>
        <w:tc>
          <w:tcPr>
            <w:tcW w:w="4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line="163" w:lineRule="exact"/>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(5)</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50"/>
        </w:trPr>
        <w:tc>
          <w:tcPr>
            <w:tcW w:w="42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Per Share Operating Data</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10.39</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11.69</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12.05</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12.23</w:t>
            </w:r>
          </w:p>
        </w:tc>
      </w:tr>
      <w:tr>
        <w:trPr>
          <w:trHeight w:val="17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investment operations: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0"/>
        </w:trPr>
        <w:tc>
          <w:tcPr>
            <w:tcW w:w="42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(1)(2)</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0.42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0.30</w:t>
            </w:r>
          </w:p>
        </w:tc>
      </w:tr>
      <w:tr>
        <w:trPr>
          <w:trHeight w:val="17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realized and unrealized gain (loss)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0.33</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(0.50)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0.72</w:t>
            </w: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from investment operations</w:t>
            </w:r>
          </w:p>
        </w:tc>
        <w:tc>
          <w:tcPr>
            <w:tcW w:w="300" w:type="dxa"/>
            <w:vAlign w:val="bottom"/>
          </w:tcPr>
          <w:p>
            <w:pPr>
              <w:spacing w:after="0"/>
              <w:rPr>
                <w:sz w:val="13"/>
                <w:szCs w:val="13"/>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0.75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(0.14)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1.02</w:t>
            </w:r>
          </w:p>
        </w:tc>
      </w:tr>
      <w:tr>
        <w:trPr>
          <w:trHeight w:val="17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to shareholders from:</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300" w:type="dxa"/>
            <w:vAlign w:val="bottom"/>
          </w:tcPr>
          <w:p>
            <w:pPr>
              <w:spacing w:after="0"/>
              <w:rPr>
                <w:sz w:val="14"/>
                <w:szCs w:val="14"/>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(0.43)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(0.73)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(0.89)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(0.33)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(0.34)</w:t>
            </w:r>
          </w:p>
        </w:tc>
      </w:tr>
      <w:tr>
        <w:trPr>
          <w:trHeight w:val="17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realized gains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(0.22)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(0.20)</w:t>
            </w:r>
          </w:p>
        </w:tc>
      </w:tr>
      <w:tr>
        <w:trPr>
          <w:trHeight w:val="168"/>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Return of capital</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(0.40)</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dividends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(0.82)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(0.54)</w:t>
            </w:r>
          </w:p>
        </w:tc>
      </w:tr>
      <w:tr>
        <w:trPr>
          <w:trHeight w:val="160"/>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8.42</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10.39</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11.69</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12.05</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12.71</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Per share market value at beginning of period</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8.92</w:t>
            </w: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9.93</w:t>
            </w: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32"/>
        </w:trPr>
        <w:tc>
          <w:tcPr>
            <w:tcW w:w="42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Per share market value at end of period</w:t>
            </w:r>
          </w:p>
        </w:tc>
        <w:tc>
          <w:tcPr>
            <w:tcW w:w="30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8.18</w:t>
            </w:r>
          </w:p>
        </w:tc>
        <w:tc>
          <w:tcPr>
            <w:tcW w:w="1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8.92</w:t>
            </w:r>
          </w:p>
        </w:tc>
        <w:tc>
          <w:tcPr>
            <w:tcW w:w="10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10.49</w:t>
            </w:r>
          </w:p>
        </w:tc>
        <w:tc>
          <w:tcPr>
            <w:tcW w:w="1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9.93</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rPr>
              <w:t>10.68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1"/>
        </w:trPr>
        <w:tc>
          <w:tcPr>
            <w:tcW w:w="4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70"/>
        </w:trPr>
        <w:tc>
          <w:tcPr>
            <w:tcW w:w="42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Total Return based on Net Asset Value </w:t>
            </w:r>
            <w:r>
              <w:rPr>
                <w:rFonts w:ascii="Times New Roman" w:cs="Times New Roman" w:eastAsia="Times New Roman" w:hAnsi="Times New Roman"/>
                <w:sz w:val="16"/>
                <w:szCs w:val="16"/>
                <w:color w:val="auto"/>
                <w:vertAlign w:val="superscript"/>
              </w:rPr>
              <w:t>(3)</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9"/>
              </w:rPr>
              <w:t>(2.77)%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6.52 %</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9"/>
              </w:rPr>
              <w:t>(1.09)%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8.62 %</w:t>
            </w:r>
          </w:p>
        </w:tc>
      </w:tr>
      <w:tr>
        <w:trPr>
          <w:trHeight w:val="170"/>
        </w:trPr>
        <w:tc>
          <w:tcPr>
            <w:tcW w:w="4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Total Return based on Market Value </w:t>
            </w:r>
            <w:r>
              <w:rPr>
                <w:rFonts w:ascii="Times New Roman" w:cs="Times New Roman" w:eastAsia="Times New Roman" w:hAnsi="Times New Roman"/>
                <w:sz w:val="16"/>
                <w:szCs w:val="16"/>
                <w:color w:val="auto"/>
                <w:vertAlign w:val="superscript"/>
              </w:rPr>
              <w:t>(3)</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0.39 %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9"/>
              </w:rPr>
              <w:t>(5.95)%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9"/>
              </w:rPr>
              <w:t>(2.99)%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4"/>
              </w:rPr>
              <w:t>(8.73)%</w:t>
            </w:r>
          </w:p>
        </w:tc>
      </w:tr>
      <w:tr>
        <w:trPr>
          <w:trHeight w:val="169"/>
        </w:trPr>
        <w:tc>
          <w:tcPr>
            <w:tcW w:w="4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Ratios/Supplemental Data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assets, end of period (in thousands)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98,751</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107,829</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121,324</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125,034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131,945</w:t>
            </w:r>
          </w:p>
        </w:tc>
      </w:tr>
      <w:tr>
        <w:trPr>
          <w:trHeight w:val="170"/>
        </w:trPr>
        <w:tc>
          <w:tcPr>
            <w:tcW w:w="42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Ratio of gross expenses to average net assets </w:t>
            </w:r>
            <w:r>
              <w:rPr>
                <w:rFonts w:ascii="Times New Roman" w:cs="Times New Roman" w:eastAsia="Times New Roman" w:hAnsi="Times New Roman"/>
                <w:sz w:val="16"/>
                <w:szCs w:val="16"/>
                <w:color w:val="auto"/>
                <w:vertAlign w:val="superscript"/>
              </w:rPr>
              <w:t>(4)</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7.42 %</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3.05 %</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3.87 %</w:t>
            </w:r>
          </w:p>
        </w:tc>
      </w:tr>
      <w:tr>
        <w:trPr>
          <w:trHeight w:val="170"/>
        </w:trPr>
        <w:tc>
          <w:tcPr>
            <w:tcW w:w="4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Ratio of net expenses to average net assets </w:t>
            </w:r>
            <w:r>
              <w:rPr>
                <w:rFonts w:ascii="Times New Roman" w:cs="Times New Roman" w:eastAsia="Times New Roman" w:hAnsi="Times New Roman"/>
                <w:sz w:val="16"/>
                <w:szCs w:val="16"/>
                <w:color w:val="auto"/>
                <w:vertAlign w:val="superscript"/>
              </w:rPr>
              <w:t>(4)</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3.34 %</w:t>
            </w: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Ratio of net investment income to average net assets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0.56 %</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3.56 %</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2.43 %</w:t>
            </w:r>
          </w:p>
        </w:tc>
      </w:tr>
      <w:tr>
        <w:trPr>
          <w:trHeight w:val="17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Portfolio turnover rate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100.91 %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7.12 %</w:t>
            </w:r>
          </w:p>
        </w:tc>
      </w:tr>
      <w:tr>
        <w:trPr>
          <w:trHeight w:val="170"/>
        </w:trPr>
        <w:tc>
          <w:tcPr>
            <w:tcW w:w="42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Loan Outstanding, End of Year/Period (in thousands) </w:t>
            </w:r>
            <w:r>
              <w:rPr>
                <w:rFonts w:ascii="Times New Roman" w:cs="Times New Roman" w:eastAsia="Times New Roman" w:hAnsi="Times New Roman"/>
                <w:sz w:val="16"/>
                <w:szCs w:val="16"/>
                <w:color w:val="auto"/>
                <w:vertAlign w:val="superscript"/>
              </w:rPr>
              <w:t>(6)</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7,455</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1,923</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13,000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2,355</w:t>
            </w:r>
          </w:p>
        </w:tc>
      </w:tr>
      <w:tr>
        <w:trPr>
          <w:trHeight w:val="170"/>
        </w:trPr>
        <w:tc>
          <w:tcPr>
            <w:tcW w:w="4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Asset Coverage Ratio for Loan Outstanding </w:t>
            </w:r>
            <w:r>
              <w:rPr>
                <w:rFonts w:ascii="Times New Roman" w:cs="Times New Roman" w:eastAsia="Times New Roman" w:hAnsi="Times New Roman"/>
                <w:sz w:val="16"/>
                <w:szCs w:val="16"/>
                <w:color w:val="auto"/>
                <w:vertAlign w:val="superscript"/>
              </w:rPr>
              <w:t>(6)</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6409 %</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5702 %</w:t>
            </w:r>
          </w:p>
        </w:tc>
      </w:tr>
      <w:tr>
        <w:trPr>
          <w:trHeight w:val="170"/>
        </w:trPr>
        <w:tc>
          <w:tcPr>
            <w:tcW w:w="42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Asset Coverage, per $1,000 Principal Amount of Loan Outstanding </w:t>
            </w:r>
            <w:r>
              <w:rPr>
                <w:rFonts w:ascii="Times New Roman" w:cs="Times New Roman" w:eastAsia="Times New Roman" w:hAnsi="Times New Roman"/>
                <w:sz w:val="16"/>
                <w:szCs w:val="16"/>
                <w:color w:val="auto"/>
                <w:vertAlign w:val="superscript"/>
              </w:rPr>
              <w:t>(6)</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15,463</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64,090</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10,618</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53,778</w:t>
            </w:r>
          </w:p>
        </w:tc>
      </w:tr>
      <w:tr>
        <w:trPr>
          <w:trHeight w:val="170"/>
        </w:trPr>
        <w:tc>
          <w:tcPr>
            <w:tcW w:w="4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Weighted Average Loans Outstanding (in thousands) </w:t>
            </w:r>
            <w:r>
              <w:rPr>
                <w:rFonts w:ascii="Times New Roman" w:cs="Times New Roman" w:eastAsia="Times New Roman" w:hAnsi="Times New Roman"/>
                <w:sz w:val="16"/>
                <w:szCs w:val="16"/>
                <w:color w:val="auto"/>
                <w:vertAlign w:val="superscript"/>
              </w:rPr>
              <w:t>(6)</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3,732</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8,051</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10,788</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7,500</w:t>
            </w:r>
          </w:p>
        </w:tc>
      </w:tr>
      <w:tr>
        <w:trPr>
          <w:trHeight w:val="219"/>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Weighted Average Interest Rate on Loans Outstanding </w:t>
            </w:r>
            <w:r>
              <w:rPr>
                <w:rFonts w:ascii="Times New Roman" w:cs="Times New Roman" w:eastAsia="Times New Roman" w:hAnsi="Times New Roman"/>
                <w:sz w:val="16"/>
                <w:szCs w:val="16"/>
                <w:color w:val="auto"/>
                <w:vertAlign w:val="superscript"/>
              </w:rPr>
              <w:t>(6)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5.14 %</w:t>
            </w:r>
          </w:p>
        </w:tc>
      </w:tr>
    </w:tbl>
    <w:p>
      <w:pPr>
        <w:spacing w:after="0" w:line="14" w:lineRule="exact"/>
        <w:rPr>
          <w:sz w:val="20"/>
          <w:szCs w:val="20"/>
          <w:color w:val="auto"/>
        </w:rPr>
      </w:pPr>
    </w:p>
    <w:p>
      <w:pPr>
        <w:ind w:left="260" w:hanging="175"/>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share amounts are calculated using the annual average shares method, which more appropriately presents the per share data for the period.</w:t>
      </w:r>
    </w:p>
    <w:p>
      <w:pPr>
        <w:spacing w:after="0" w:line="13" w:lineRule="exact"/>
        <w:rPr>
          <w:rFonts w:ascii="Times New Roman" w:cs="Times New Roman" w:eastAsia="Times New Roman" w:hAnsi="Times New Roman"/>
          <w:sz w:val="13"/>
          <w:szCs w:val="13"/>
          <w:color w:val="auto"/>
        </w:rPr>
      </w:pPr>
    </w:p>
    <w:p>
      <w:pPr>
        <w:ind w:left="280" w:hanging="195"/>
        <w:spacing w:after="0"/>
        <w:tabs>
          <w:tab w:leader="none" w:pos="26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investment loss ratio is annualized except for Organizational Fees, which are one time expenses, and calculated excluding Expense Waiver. If Expense Waiver were included, the ratio would have been lowered by 0.70% for the period ended September 30, 2023.</w:t>
      </w:r>
    </w:p>
    <w:p>
      <w:pPr>
        <w:spacing w:after="0" w:line="1" w:lineRule="exact"/>
        <w:rPr>
          <w:rFonts w:ascii="Times New Roman" w:cs="Times New Roman" w:eastAsia="Times New Roman" w:hAnsi="Times New Roman"/>
          <w:sz w:val="13"/>
          <w:szCs w:val="13"/>
          <w:color w:val="auto"/>
        </w:rPr>
      </w:pPr>
    </w:p>
    <w:p>
      <w:pPr>
        <w:ind w:left="280" w:right="40" w:hanging="195"/>
        <w:spacing w:after="0" w:line="246" w:lineRule="auto"/>
        <w:tabs>
          <w:tab w:leader="none" w:pos="26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returns are historical in nature and assume changes in share price, reinvestment of dividends and capital gains distributions, if any, and excludes the effect of sales charges. Had the Adviser not waived expenses, total returns would have been lower.</w:t>
      </w:r>
    </w:p>
    <w:p>
      <w:pPr>
        <w:spacing w:after="0" w:line="1" w:lineRule="exact"/>
        <w:rPr>
          <w:rFonts w:ascii="Times New Roman" w:cs="Times New Roman" w:eastAsia="Times New Roman" w:hAnsi="Times New Roman"/>
          <w:sz w:val="13"/>
          <w:szCs w:val="13"/>
          <w:color w:val="auto"/>
        </w:rPr>
      </w:pPr>
    </w:p>
    <w:p>
      <w:pPr>
        <w:ind w:left="280" w:right="20" w:hanging="195"/>
        <w:spacing w:after="0" w:line="244" w:lineRule="auto"/>
        <w:tabs>
          <w:tab w:leader="none" w:pos="26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 ratios have been annualized, except for Organizational Fees which are one time expenses, and Expense Waiver which are not annualized. If Expense Waiver had been excluded, the expense ratios would have decreased by 0.70% for the year ended September 30, 2023. Expenses do not include expenses from underlying funds in which the Fund is invested.</w:t>
      </w:r>
    </w:p>
    <w:p>
      <w:pPr>
        <w:ind w:left="280" w:right="240" w:hanging="195"/>
        <w:spacing w:after="0" w:line="271" w:lineRule="auto"/>
        <w:tabs>
          <w:tab w:leader="none" w:pos="269"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 at the close of business on July 14, 2023, CGCIM replaced Oakline Advisors as the Fund’s new investment adviser and the Fund’s investment strategy was changed to invest primarily in debt and equity tranches issued by collateralized loan obligations. Prior to the close of business on July 14, 2023, the investment strategy was to invest primarily </w:t>
      </w:r>
      <w:r>
        <w:rPr>
          <w:rFonts w:ascii="Times New Roman" w:cs="Times New Roman" w:eastAsia="Times New Roman" w:hAnsi="Times New Roman"/>
          <w:sz w:val="13"/>
          <w:szCs w:val="13"/>
          <w:color w:val="auto"/>
        </w:rPr>
        <w:t>in mortgage notes secured by residential real estate.</w:t>
      </w:r>
    </w:p>
    <w:p>
      <w:pPr>
        <w:ind w:left="260" w:hanging="175"/>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September 30, 2023, the Fund did not have any outstanding loans. The Nexbank line of credit was terminated on July 5, 2023.</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220" w:top="954" w:right="399" w:bottom="1440" w:gutter="0" w:footer="0" w:header="0"/>
        </w:sectPr>
      </w:pPr>
    </w:p>
    <w:bookmarkStart w:id="38" w:name="page39"/>
    <w:bookmarkEnd w:id="38"/>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Trustees of Carlyle Credit Income Fund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audited the accompanying statement of assets and liabilities of Carlyle Credit Income Fund (the “Fund”), including the schedule of investments, as of September 30, 2023, and the related statements of operations, cash flows, changes in net assets and financial highlights for the year then ended, and the related notes (collectively referred to as the “financial statements”). In our opinion, the financial statements present fairly, in all material respects, the financial position of the Fund at September 30, 2023, the results of its operations, cash flows, changes in net assets and financial highlights for the year then ended, in conformity with U.S. generally accepted accounting principles.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accompanying statement of changes in net assets of the Fund (including the tax character of dividends paid in Note 9) for the year ended September 30, 2022 and the accompanying financial highlights of the Fund for each of the four years in the period then ended were audited by another independent registered public accounting firm whose report, dated December 12, 2022, expressed unqualified opinions on the financial statements of the Fund containing that statement of changes in net assets and those financial highlights.</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Fund’s management. Our responsibility is to express an opinion on the Fund’s financial statements based on our audits. We are a public accounting firm registered with the Public Company Accounting Oversight Board (United States) (“PCAOB”) and are required to be independent with respect to the Fund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Fund is not required to have, nor were we engaged to perform, an audit of the Fund’s internal control over financial reporting. As part of our audits, we are required to obtain an understanding of internal control over financial reporting but not for the purpose of expressing an opinion on the effectiveness of the Fund’s internal control over financial reporting. Accordingly, we express no such opinion.</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September 30, 2023, by correspondence directly with the custodians and counterparties.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auditor of one or more CGCIM investment companies since 2020.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Tysons, VA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PRICE RANGE OF COMMON SHARES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common shares began trading on May 29, 2019 and are currently traded on the NYSE under the symbol “CCIF.” Prior to July 27, 2023, the Fund’s common shares traded on NYSE under the symbol “VCIF.” The following table lists the high and low closing sale price for our common shares, the high and low closing sale price as a percentage of NAV and distributions declared per common share for each quarter since October 1,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Premium</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Premium</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color w:val="auto"/>
                <w:w w:val="97"/>
              </w:rPr>
              <w:t>(Discount) of</w:t>
            </w:r>
          </w:p>
        </w:tc>
        <w:tc>
          <w:tcPr>
            <w:tcW w:w="10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w w:val="99"/>
              </w:rPr>
              <w:t>(Discount) of Low</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Period</w:t>
            </w:r>
          </w:p>
        </w:tc>
        <w:tc>
          <w:tcPr>
            <w:tcW w:w="1060" w:type="dxa"/>
            <w:vAlign w:val="bottom"/>
            <w:gridSpan w:val="2"/>
            <w:vMerge w:val="restart"/>
          </w:tcPr>
          <w:p>
            <w:pPr>
              <w:ind w:left="300"/>
              <w:spacing w:after="0" w:line="265" w:lineRule="exact"/>
              <w:rPr>
                <w:sz w:val="20"/>
                <w:szCs w:val="20"/>
                <w:color w:val="auto"/>
              </w:rPr>
            </w:pPr>
            <w:r>
              <w:rPr>
                <w:rFonts w:ascii="Times New Roman" w:cs="Times New Roman" w:eastAsia="Times New Roman" w:hAnsi="Times New Roman"/>
                <w:sz w:val="25"/>
                <w:szCs w:val="25"/>
                <w:color w:val="auto"/>
                <w:vertAlign w:val="subscript"/>
              </w:rPr>
              <w:t>NAV</w:t>
            </w:r>
            <w:r>
              <w:rPr>
                <w:rFonts w:ascii="Times New Roman" w:cs="Times New Roman" w:eastAsia="Times New Roman" w:hAnsi="Times New Roman"/>
                <w:sz w:val="8"/>
                <w:szCs w:val="8"/>
                <w:color w:val="auto"/>
              </w:rPr>
              <w:t xml:space="preserve"> (1)</w:t>
            </w:r>
          </w:p>
        </w:tc>
        <w:tc>
          <w:tcPr>
            <w:tcW w:w="1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High</w:t>
            </w:r>
          </w:p>
        </w:tc>
        <w:tc>
          <w:tcPr>
            <w:tcW w:w="1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Low</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High Sales Price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Sales Price to</w:t>
            </w:r>
          </w:p>
        </w:tc>
        <w:tc>
          <w:tcPr>
            <w:tcW w:w="1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Distributions 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6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9"/>
                <w:szCs w:val="9"/>
                <w:color w:val="auto"/>
              </w:rPr>
              <w:t xml:space="preserve">to NAV </w:t>
            </w:r>
            <w:r>
              <w:rPr>
                <w:rFonts w:ascii="Times New Roman" w:cs="Times New Roman" w:eastAsia="Times New Roman" w:hAnsi="Times New Roman"/>
                <w:sz w:val="11"/>
                <w:szCs w:val="11"/>
                <w:color w:val="auto"/>
                <w:vertAlign w:val="superscript"/>
              </w:rPr>
              <w:t>(2)</w:t>
            </w:r>
          </w:p>
        </w:tc>
        <w:tc>
          <w:tcPr>
            <w:tcW w:w="1080" w:type="dxa"/>
            <w:vAlign w:val="bottom"/>
            <w:gridSpan w:val="2"/>
          </w:tcPr>
          <w:p>
            <w:pPr>
              <w:jc w:val="center"/>
              <w:ind w:right="80"/>
              <w:spacing w:after="0" w:line="96" w:lineRule="exact"/>
              <w:rPr>
                <w:sz w:val="20"/>
                <w:szCs w:val="20"/>
                <w:color w:val="auto"/>
              </w:rPr>
            </w:pPr>
            <w:r>
              <w:rPr>
                <w:rFonts w:ascii="Times New Roman" w:cs="Times New Roman" w:eastAsia="Times New Roman" w:hAnsi="Times New Roman"/>
                <w:sz w:val="11"/>
                <w:szCs w:val="11"/>
                <w:color w:val="auto"/>
                <w:vertAlign w:val="subscript"/>
              </w:rPr>
              <w:t>NAV</w:t>
            </w:r>
            <w:r>
              <w:rPr>
                <w:rFonts w:ascii="Times New Roman" w:cs="Times New Roman" w:eastAsia="Times New Roman" w:hAnsi="Times New Roman"/>
                <w:sz w:val="6"/>
                <w:szCs w:val="6"/>
                <w:color w:val="auto"/>
              </w:rPr>
              <w:t xml:space="preserve"> (2)</w:t>
            </w:r>
          </w:p>
        </w:tc>
        <w:tc>
          <w:tcPr>
            <w:tcW w:w="12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Fiscal year ending September 30, 2021</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12.01</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10.22</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9.64</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(14.90)%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(19.70)%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0.3950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11.70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10.49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9.84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(10.30)%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(15.90)%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0.2395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11.85</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10.90</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10.18</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(8.00)%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(14.10)%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0.2360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11.69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10.84</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10.28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(7.30)%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(12.10)%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0.2367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6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Fiscal year ending September 30, 2022 </w:t>
            </w:r>
            <w:r>
              <w:rPr>
                <w:rFonts w:ascii="Times New Roman" w:cs="Times New Roman" w:eastAsia="Times New Roman" w:hAnsi="Times New Roman"/>
                <w:sz w:val="16"/>
                <w:szCs w:val="16"/>
                <w:b w:val="1"/>
                <w:bCs w:val="1"/>
                <w:color w:val="auto"/>
                <w:vertAlign w:val="superscript"/>
              </w:rPr>
              <w:t>(4)</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11.32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10.69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(5.60)%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(11.80)%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0.3381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10.97</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10.33</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9.77</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(5.80)%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(10.90)%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0.2271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10.65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10.00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9.07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(6.10)%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(14.80)%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0.2194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10.39</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9.75</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8.90</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(12.50)%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0.2139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b w:val="1"/>
                <w:bCs w:val="1"/>
                <w:color w:val="auto"/>
              </w:rPr>
              <w:t xml:space="preserve">Fiscal year ending September 30, 2023 </w:t>
            </w:r>
            <w:r>
              <w:rPr>
                <w:rFonts w:ascii="Times New Roman" w:cs="Times New Roman" w:eastAsia="Times New Roman" w:hAnsi="Times New Roman"/>
                <w:sz w:val="16"/>
                <w:szCs w:val="16"/>
                <w:b w:val="1"/>
                <w:bCs w:val="1"/>
                <w:color w:val="auto"/>
                <w:vertAlign w:val="superscript"/>
              </w:rPr>
              <w:t>(5)</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10.26</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9.53</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8.48</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(7.10)%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(17.50)%</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0.2068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10.10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8.61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(0.49)%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(15.17)%</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0.2050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10.03</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9.70</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0.70%</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0.2022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8.42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9.95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7.72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(18.17)%</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8.31%</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0.2096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100" w:hanging="260"/>
        <w:spacing w:after="0" w:line="264" w:lineRule="auto"/>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NAV per common share is determined as of the last day in the relevant quarter and therefore may not reflect the NAV per common share on the date of the high and low sales prices. The NAVs shown are based on outstanding common shares at the end of each period.</w:t>
      </w:r>
    </w:p>
    <w:p>
      <w:pPr>
        <w:spacing w:after="0" w:line="53"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of the respective high or low closing sales price divided by the quarter end NAV.</w:t>
      </w:r>
    </w:p>
    <w:p>
      <w:pPr>
        <w:spacing w:after="0" w:line="94" w:lineRule="exact"/>
        <w:rPr>
          <w:rFonts w:ascii="Times New Roman" w:cs="Times New Roman" w:eastAsia="Times New Roman" w:hAnsi="Times New Roman"/>
          <w:sz w:val="13"/>
          <w:szCs w:val="13"/>
          <w:color w:val="auto"/>
        </w:rPr>
      </w:pPr>
    </w:p>
    <w:p>
      <w:pPr>
        <w:ind w:left="520" w:right="640" w:hanging="260"/>
        <w:spacing w:after="0" w:line="264" w:lineRule="auto"/>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cash distributions (including dividends, dividends reinvested and returns of capital, if any) per common share that we have declared on our common shares in the specified quarter. Tax characteristics of distributions will vary.</w:t>
      </w:r>
    </w:p>
    <w:p>
      <w:pPr>
        <w:spacing w:after="0" w:line="63"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fiscal year ending September 30, 2022, distributions made by us were comprised, in part, of a return of capital, as calculated on a per common share basis, of $0.088 per common share.</w:t>
      </w:r>
    </w:p>
    <w:p>
      <w:pPr>
        <w:spacing w:after="0" w:line="83" w:lineRule="exact"/>
        <w:rPr>
          <w:rFonts w:ascii="Times New Roman" w:cs="Times New Roman" w:eastAsia="Times New Roman" w:hAnsi="Times New Roman"/>
          <w:sz w:val="13"/>
          <w:szCs w:val="13"/>
          <w:color w:val="auto"/>
        </w:rPr>
      </w:pPr>
    </w:p>
    <w:p>
      <w:pPr>
        <w:ind w:left="520" w:hanging="260"/>
        <w:spacing w:after="0" w:line="280" w:lineRule="auto"/>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fiscal quarter ending December 31, 2022, distributions made by us were comprised, in part, of an estimated return of capital, as calculated on a per common share basis, of $0.1253 per common share. For the fiscal quarter ending March 31, 2023, distributions made by us were comprised, in part, of an estimated return of capital, as calculated on a per common share basis, of $0.0699 per common share. For the fiscal quarter ending June 30, 2023, distributions made by us were comprised, in part, of an estimated return of capital, as calculated on a per common share basis, of $0.1021 per common share. For the fiscal quarter ending September 30, 2023, distributions made by us were comprised, in part, of an estimated return of capital, as calculated on a per common share basis, of $0.2096 per common share.</w:t>
      </w:r>
    </w:p>
    <w:p>
      <w:pPr>
        <w:spacing w:after="0" w:line="52"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Common shares of closed-end management investment companies may trade at a market price that is less than the NAV that is attributable to those common shares. The possibility that our common shares will trade at a discount to NAV or at a premium to NAV that is unsustainable over the long term is separate and distinct from the risk that our NAV will decrease. It is not possible to predict whether our common shares will trade at, above or below NAV in the future. Our NAV per common share was $8.42 as of September 30, 2023. The closing sales price for common shares on the NYSE on September 29, 2023 was $8.18 which represented a 2.85% discount to NAV per common share.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DIVIDEND REINVESTMENT PLAN</w:t>
      </w:r>
    </w:p>
    <w:p>
      <w:pPr>
        <w:spacing w:after="0" w:line="96"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Fund will operate under the Dividend Reinvestment Plan (“DRP”) administered by Equiniti. Pursuant to the DRP, the Fund’s Distributions, net of any applicable U.S. withholding tax, are reinvested in the same class of shares of the Fund.</w:t>
      </w:r>
    </w:p>
    <w:p>
      <w:pPr>
        <w:spacing w:after="0" w:line="3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Shareholders automatically participate in the DRP, unless and until an election is made to withdraw from the plan on behalf of such participating Shareholder. A Shareholder who does not wish to have Distributions automatically reinvested may terminate participation in the DRP by written instructions to that effect to Equiniti. Shareholders who elect not to participate in the DRP will receive all distributions in cash paid to the Shareholder of record (or, if the shares are held in street or other nominee name, then to such nominee). Such written instructions must be received by Equiniti within 15 days prior to the applicable dividend payment date, or the Shareholder will receive such Distribution in shares through the DRP. Under the DRP, the Fund’s Distributions to Shareholders are automatically reinvested in full and fractional shares as described below.</w:t>
      </w:r>
    </w:p>
    <w:p>
      <w:pPr>
        <w:spacing w:after="0" w:line="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When the Fund declares a dividend, capital gain or other distribution (each, a “Distribution” and collectively, “Distributions”) Equiniti, on the Shareholder’s behalf, will receive additional authorized shares from the Fund either newly issued or repurchased from Shareholders by the Fund and held as treasury stock. Distributions that are reinvested through the issuance of new shares increase our Shareholders’ equity on which a management fee is payable to the Adviser. The number of shares to be received when Distributions are reinvested will be determined by dividing the amount of the Distribution by 95% of the market price per share of the Fund’s common stock at the close of regular trading on the NYSE. The newly issued shares would be issued whether our shares are trading at a premium or discount to NAV. However, the Fund reserves the right to purchase shares in the open market in connection with the implementation of the DRP to the extent that shares are trading at a price below NAV per share. Shares purchased in open market transactions by the plan administrator will be allocated to a Shareholder based on the average purchase price, excluding any brokerage charges or other charges, of all shares purchased in the open market.</w:t>
      </w:r>
    </w:p>
    <w:p>
      <w:pPr>
        <w:spacing w:after="0" w:line="62"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Equiniti will maintain all Shareholder accounts and furnish written confirmations of all transactions in the accounts, including information needed by Shareholders for personal and tax records. Equiniti will hold shares in the account of the Shareholders in non-certificated form in the name of the participant, and each Shareholder’s proxy, if any, will include those shares purchased pursuant to the DRP. Each participant, nevertheless, has the right to request certificates for whole and fractional shares owned. The Fund will issue certificates in its sole discretion. Equiniti will distribute all proxy solicitation materials, if any, to participating Shareholders.</w:t>
      </w:r>
    </w:p>
    <w:p>
      <w:pPr>
        <w:spacing w:after="0" w:line="56"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In the case of Shareholders, such as banks, brokers or nominees, that hold shares for others who are beneficial owners participating under the DRP, Equiniti will administer the DRP on the basis of the number of shares certified from time to time by the record shareholder as representing the total amount of shares registered in the Shareholder’s name and held for the account of beneficial owners participating under the DRP.</w:t>
      </w:r>
    </w:p>
    <w:p>
      <w:pPr>
        <w:spacing w:after="0" w:line="51"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Neither Equiniti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5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automatic reinvestment of Distributions will not relieve participants of any federal, state or local income tax that may be payable (or required to be withheld) on such Distributions. See “U.S. Federal Income Tax Matters.”</w:t>
      </w:r>
    </w:p>
    <w:p>
      <w:pPr>
        <w:spacing w:after="0" w:line="39"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spacing w:after="0" w:line="39"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All correspondence concerning the DRP should be directed to Equiniti at 6201 15th Ave., Brooklyn, NY 11219. Certain transactions can be performed by calling the toll free number (866) 277-8243</w:t>
      </w:r>
      <w:r>
        <w:rPr>
          <w:rFonts w:ascii="Arial" w:cs="Arial" w:eastAsia="Arial" w:hAnsi="Arial"/>
          <w:sz w:val="12"/>
          <w:szCs w:val="12"/>
          <w:color w:val="auto"/>
        </w:rPr>
        <w: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MANAGEMENT OF THE FUND</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Fund’s business and affairs are managed under the direction of the Board. The Board currently consists of five members, three of whom are not “interested persons” of the Fund as defined in Section 2(a)(19) of the Investment Company Act. The Fund refers to these individuals as its independent trustees. The Board annually elects the Fund’s officers, who serve at the discretion of the Board. The Board maintains an audit committee, a nominating and governance committee and an independent trustees committee and may establish additional committees from time to time as necessary.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Trustees and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Trustees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Position(s) Held</w:t>
            </w: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Term of Office and Length of</w:t>
            </w:r>
          </w:p>
        </w:tc>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 Occupation(s) During Past 5</w:t>
            </w:r>
          </w:p>
        </w:tc>
        <w:tc>
          <w:tcPr>
            <w:tcW w:w="13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Number of Portfolios in</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Name, Address </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Age</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136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Fund Complex Overseen</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Other Directorships Held by Trustee</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with the Trust</w:t>
            </w:r>
          </w:p>
        </w:tc>
        <w:tc>
          <w:tcPr>
            <w:tcW w:w="1680" w:type="dxa"/>
            <w:vAlign w:val="bottom"/>
            <w:tcBorders>
              <w:bottom w:val="single" w:sz="8" w:color="auto"/>
            </w:tcBorders>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Time Served </w:t>
            </w:r>
            <w:r>
              <w:rPr>
                <w:rFonts w:ascii="Times New Roman" w:cs="Times New Roman" w:eastAsia="Times New Roman" w:hAnsi="Times New Roman"/>
                <w:sz w:val="14"/>
                <w:szCs w:val="14"/>
                <w:b w:val="1"/>
                <w:bCs w:val="1"/>
                <w:color w:val="auto"/>
                <w:vertAlign w:val="superscript"/>
              </w:rPr>
              <w:t>(2)</w:t>
            </w:r>
          </w:p>
        </w:tc>
        <w:tc>
          <w:tcPr>
            <w:tcW w:w="2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by Trustee</w:t>
            </w:r>
          </w:p>
        </w:tc>
        <w:tc>
          <w:tcPr>
            <w:tcW w:w="2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80" w:type="dxa"/>
            <w:vAlign w:val="bottom"/>
            <w:tcBorders>
              <w:bottom w:val="single" w:sz="8" w:color="auto"/>
            </w:tcBorders>
          </w:tcPr>
          <w:p>
            <w:pPr>
              <w:ind w:left="20"/>
              <w:spacing w:after="0" w:line="150" w:lineRule="exact"/>
              <w:rPr>
                <w:sz w:val="20"/>
                <w:szCs w:val="20"/>
                <w:color w:val="auto"/>
              </w:rPr>
            </w:pPr>
            <w:r>
              <w:rPr>
                <w:rFonts w:ascii="Times New Roman" w:cs="Times New Roman" w:eastAsia="Times New Roman" w:hAnsi="Times New Roman"/>
                <w:sz w:val="11"/>
                <w:szCs w:val="11"/>
                <w:b w:val="1"/>
                <w:bCs w:val="1"/>
                <w:i w:val="1"/>
                <w:iCs w:val="1"/>
                <w:color w:val="auto"/>
              </w:rPr>
              <w:t xml:space="preserve">Interested Trustee </w:t>
            </w:r>
            <w:r>
              <w:rPr>
                <w:rFonts w:ascii="Times New Roman" w:cs="Times New Roman" w:eastAsia="Times New Roman" w:hAnsi="Times New Roman"/>
                <w:sz w:val="14"/>
                <w:szCs w:val="14"/>
                <w:b w:val="1"/>
                <w:bCs w:val="1"/>
                <w:i w:val="1"/>
                <w:iCs w:val="1"/>
                <w:color w:val="auto"/>
                <w:vertAlign w:val="superscript"/>
              </w:rPr>
              <w:t>(2)</w:t>
            </w:r>
          </w:p>
        </w:tc>
        <w:tc>
          <w:tcPr>
            <w:tcW w:w="10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8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Brian Marcus (1983)</w:t>
            </w:r>
          </w:p>
        </w:tc>
        <w:tc>
          <w:tcPr>
            <w:tcW w:w="1060" w:type="dxa"/>
            <w:vAlign w:val="bottom"/>
          </w:tcPr>
          <w:p>
            <w:pPr>
              <w:ind w:left="160"/>
              <w:spacing w:after="0" w:line="101" w:lineRule="exact"/>
              <w:rPr>
                <w:sz w:val="20"/>
                <w:szCs w:val="20"/>
                <w:color w:val="auto"/>
              </w:rPr>
            </w:pPr>
            <w:r>
              <w:rPr>
                <w:rFonts w:ascii="Times New Roman" w:cs="Times New Roman" w:eastAsia="Times New Roman" w:hAnsi="Times New Roman"/>
                <w:sz w:val="11"/>
                <w:szCs w:val="11"/>
                <w:color w:val="auto"/>
              </w:rPr>
              <w:t>Trustee</w:t>
            </w:r>
          </w:p>
        </w:tc>
        <w:tc>
          <w:tcPr>
            <w:tcW w:w="1680" w:type="dxa"/>
            <w:vAlign w:val="bottom"/>
          </w:tcPr>
          <w:p>
            <w:pPr>
              <w:ind w:left="120"/>
              <w:spacing w:after="0" w:line="101" w:lineRule="exact"/>
              <w:rPr>
                <w:sz w:val="20"/>
                <w:szCs w:val="20"/>
                <w:color w:val="auto"/>
              </w:rPr>
            </w:pPr>
            <w:r>
              <w:rPr>
                <w:rFonts w:ascii="Times New Roman" w:cs="Times New Roman" w:eastAsia="Times New Roman" w:hAnsi="Times New Roman"/>
                <w:sz w:val="11"/>
                <w:szCs w:val="11"/>
                <w:color w:val="auto"/>
              </w:rPr>
              <w:t>Class I Board member until 2025</w:t>
            </w:r>
          </w:p>
        </w:tc>
        <w:tc>
          <w:tcPr>
            <w:tcW w:w="2100" w:type="dxa"/>
            <w:vAlign w:val="bottom"/>
          </w:tcPr>
          <w:p>
            <w:pPr>
              <w:ind w:left="60"/>
              <w:spacing w:after="0" w:line="101" w:lineRule="exact"/>
              <w:rPr>
                <w:sz w:val="20"/>
                <w:szCs w:val="20"/>
                <w:color w:val="auto"/>
              </w:rPr>
            </w:pPr>
            <w:r>
              <w:rPr>
                <w:rFonts w:ascii="Times New Roman" w:cs="Times New Roman" w:eastAsia="Times New Roman" w:hAnsi="Times New Roman"/>
                <w:sz w:val="11"/>
                <w:szCs w:val="11"/>
                <w:color w:val="auto"/>
              </w:rPr>
              <w:t>Managing Director, The Carlyle Group Inc.</w:t>
            </w:r>
          </w:p>
        </w:tc>
        <w:tc>
          <w:tcPr>
            <w:tcW w:w="1360" w:type="dxa"/>
            <w:vAlign w:val="bottom"/>
          </w:tcPr>
          <w:p>
            <w:pPr>
              <w:jc w:val="right"/>
              <w:ind w:right="563"/>
              <w:spacing w:after="0" w:line="101" w:lineRule="exact"/>
              <w:rPr>
                <w:sz w:val="20"/>
                <w:szCs w:val="20"/>
                <w:color w:val="auto"/>
              </w:rPr>
            </w:pPr>
            <w:r>
              <w:rPr>
                <w:rFonts w:ascii="Times New Roman" w:cs="Times New Roman" w:eastAsia="Times New Roman" w:hAnsi="Times New Roman"/>
                <w:sz w:val="11"/>
                <w:szCs w:val="11"/>
                <w:color w:val="auto"/>
              </w:rPr>
              <w:t>2</w:t>
            </w:r>
          </w:p>
        </w:tc>
        <w:tc>
          <w:tcPr>
            <w:tcW w:w="2700" w:type="dxa"/>
            <w:vAlign w:val="bottom"/>
          </w:tcPr>
          <w:p>
            <w:pPr>
              <w:ind w:left="100"/>
              <w:spacing w:after="0" w:line="101" w:lineRule="exact"/>
              <w:rPr>
                <w:sz w:val="20"/>
                <w:szCs w:val="20"/>
                <w:color w:val="auto"/>
              </w:rPr>
            </w:pPr>
            <w:r>
              <w:rPr>
                <w:rFonts w:ascii="Times New Roman" w:cs="Times New Roman" w:eastAsia="Times New Roman" w:hAnsi="Times New Roman"/>
                <w:sz w:val="11"/>
                <w:szCs w:val="11"/>
                <w:color w:val="auto"/>
              </w:rPr>
              <w:t>None</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3" w:lineRule="exact"/>
              <w:rPr>
                <w:sz w:val="20"/>
                <w:szCs w:val="20"/>
                <w:color w:val="auto"/>
              </w:rPr>
            </w:pPr>
            <w:r>
              <w:rPr>
                <w:rFonts w:ascii="Times New Roman" w:cs="Times New Roman" w:eastAsia="Times New Roman" w:hAnsi="Times New Roman"/>
                <w:sz w:val="11"/>
                <w:szCs w:val="11"/>
                <w:color w:val="auto"/>
              </w:rPr>
              <w:t>annual shareholder meeting. –</w:t>
            </w:r>
          </w:p>
        </w:tc>
        <w:tc>
          <w:tcPr>
            <w:tcW w:w="2100" w:type="dxa"/>
            <w:vAlign w:val="bottom"/>
          </w:tcPr>
          <w:p>
            <w:pPr>
              <w:ind w:left="60"/>
              <w:spacing w:after="0" w:line="113" w:lineRule="exact"/>
              <w:rPr>
                <w:sz w:val="20"/>
                <w:szCs w:val="20"/>
                <w:color w:val="auto"/>
              </w:rPr>
            </w:pPr>
            <w:r>
              <w:rPr>
                <w:rFonts w:ascii="Times New Roman" w:cs="Times New Roman" w:eastAsia="Times New Roman" w:hAnsi="Times New Roman"/>
                <w:sz w:val="11"/>
                <w:szCs w:val="11"/>
                <w:color w:val="auto"/>
              </w:rPr>
              <w:t>(Since 2021);Principal, Carlyle Group</w:t>
            </w:r>
          </w:p>
        </w:tc>
        <w:tc>
          <w:tcPr>
            <w:tcW w:w="13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since July 2023</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(2018 –2020); Vice President, The Carlyle</w:t>
            </w:r>
          </w:p>
        </w:tc>
        <w:tc>
          <w:tcPr>
            <w:tcW w:w="13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Group Inc. (2015 – 2017)</w:t>
            </w:r>
          </w:p>
        </w:tc>
        <w:tc>
          <w:tcPr>
            <w:tcW w:w="1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Lauren Basmadjian (1979)</w:t>
            </w:r>
          </w:p>
        </w:tc>
        <w:tc>
          <w:tcPr>
            <w:tcW w:w="1060" w:type="dxa"/>
            <w:vAlign w:val="bottom"/>
          </w:tcPr>
          <w:p>
            <w:pPr>
              <w:ind w:left="160"/>
              <w:spacing w:after="0" w:line="110" w:lineRule="exact"/>
              <w:rPr>
                <w:sz w:val="20"/>
                <w:szCs w:val="20"/>
                <w:color w:val="auto"/>
              </w:rPr>
            </w:pPr>
            <w:r>
              <w:rPr>
                <w:rFonts w:ascii="Times New Roman" w:cs="Times New Roman" w:eastAsia="Times New Roman" w:hAnsi="Times New Roman"/>
                <w:sz w:val="11"/>
                <w:szCs w:val="11"/>
                <w:color w:val="auto"/>
              </w:rPr>
              <w:t>Trustee</w:t>
            </w: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Class III Board member until</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Managing Director, The Carlyle Group Inc.</w:t>
            </w:r>
          </w:p>
        </w:tc>
        <w:tc>
          <w:tcPr>
            <w:tcW w:w="1360" w:type="dxa"/>
            <w:vAlign w:val="bottom"/>
          </w:tcPr>
          <w:p>
            <w:pPr>
              <w:jc w:val="right"/>
              <w:ind w:right="563"/>
              <w:spacing w:after="0" w:line="110" w:lineRule="exact"/>
              <w:rPr>
                <w:sz w:val="20"/>
                <w:szCs w:val="20"/>
                <w:color w:val="auto"/>
              </w:rPr>
            </w:pPr>
            <w:r>
              <w:rPr>
                <w:rFonts w:ascii="Times New Roman" w:cs="Times New Roman" w:eastAsia="Times New Roman" w:hAnsi="Times New Roman"/>
                <w:sz w:val="11"/>
                <w:szCs w:val="11"/>
                <w:color w:val="auto"/>
              </w:rPr>
              <w:t>1</w:t>
            </w: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None</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3" w:lineRule="exact"/>
              <w:rPr>
                <w:sz w:val="20"/>
                <w:szCs w:val="20"/>
                <w:color w:val="auto"/>
              </w:rPr>
            </w:pPr>
            <w:r>
              <w:rPr>
                <w:rFonts w:ascii="Times New Roman" w:cs="Times New Roman" w:eastAsia="Times New Roman" w:hAnsi="Times New Roman"/>
                <w:sz w:val="11"/>
                <w:szCs w:val="11"/>
                <w:color w:val="auto"/>
              </w:rPr>
              <w:t>2024 annual shareholder</w:t>
            </w:r>
          </w:p>
        </w:tc>
        <w:tc>
          <w:tcPr>
            <w:tcW w:w="2100" w:type="dxa"/>
            <w:vAlign w:val="bottom"/>
          </w:tcPr>
          <w:p>
            <w:pPr>
              <w:ind w:left="60"/>
              <w:spacing w:after="0" w:line="113" w:lineRule="exact"/>
              <w:rPr>
                <w:sz w:val="20"/>
                <w:szCs w:val="20"/>
                <w:color w:val="auto"/>
              </w:rPr>
            </w:pPr>
            <w:r>
              <w:rPr>
                <w:rFonts w:ascii="Times New Roman" w:cs="Times New Roman" w:eastAsia="Times New Roman" w:hAnsi="Times New Roman"/>
                <w:sz w:val="11"/>
                <w:szCs w:val="11"/>
                <w:color w:val="auto"/>
              </w:rPr>
              <w:t>(Since 2020); Senior Portfolio Manager,</w:t>
            </w:r>
          </w:p>
        </w:tc>
        <w:tc>
          <w:tcPr>
            <w:tcW w:w="13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meeting. – since July 2023</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Octagon Credit Investors, LLC (2001 to</w:t>
            </w:r>
          </w:p>
        </w:tc>
        <w:tc>
          <w:tcPr>
            <w:tcW w:w="13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2020)</w:t>
            </w: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Independent Trustees</w:t>
            </w: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Mark Garbin</w:t>
            </w:r>
          </w:p>
        </w:tc>
        <w:tc>
          <w:tcPr>
            <w:tcW w:w="1060" w:type="dxa"/>
            <w:vAlign w:val="bottom"/>
          </w:tcPr>
          <w:p>
            <w:pPr>
              <w:ind w:left="160"/>
              <w:spacing w:after="0" w:line="110" w:lineRule="exact"/>
              <w:rPr>
                <w:sz w:val="20"/>
                <w:szCs w:val="20"/>
                <w:color w:val="auto"/>
              </w:rPr>
            </w:pPr>
            <w:r>
              <w:rPr>
                <w:rFonts w:ascii="Times New Roman" w:cs="Times New Roman" w:eastAsia="Times New Roman" w:hAnsi="Times New Roman"/>
                <w:sz w:val="11"/>
                <w:szCs w:val="11"/>
                <w:color w:val="auto"/>
              </w:rPr>
              <w:t>Trustee</w:t>
            </w: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Class I Board member until 2025</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Managing Principal,</w:t>
            </w:r>
          </w:p>
        </w:tc>
        <w:tc>
          <w:tcPr>
            <w:tcW w:w="1360" w:type="dxa"/>
            <w:vAlign w:val="bottom"/>
          </w:tcPr>
          <w:p>
            <w:pPr>
              <w:jc w:val="right"/>
              <w:ind w:right="563"/>
              <w:spacing w:after="0" w:line="110" w:lineRule="exact"/>
              <w:rPr>
                <w:sz w:val="20"/>
                <w:szCs w:val="20"/>
                <w:color w:val="auto"/>
              </w:rPr>
            </w:pPr>
            <w:r>
              <w:rPr>
                <w:rFonts w:ascii="Times New Roman" w:cs="Times New Roman" w:eastAsia="Times New Roman" w:hAnsi="Times New Roman"/>
                <w:sz w:val="11"/>
                <w:szCs w:val="11"/>
                <w:color w:val="auto"/>
              </w:rPr>
              <w:t>2</w:t>
            </w: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Independent Trustee of Two Roads Shared Trust (since</w:t>
            </w:r>
          </w:p>
        </w:tc>
        <w:tc>
          <w:tcPr>
            <w:tcW w:w="0" w:type="dxa"/>
            <w:vAlign w:val="bottom"/>
          </w:tcPr>
          <w:p>
            <w:pPr>
              <w:spacing w:after="0"/>
              <w:rPr>
                <w:sz w:val="1"/>
                <w:szCs w:val="1"/>
                <w:color w:val="auto"/>
              </w:rPr>
            </w:pPr>
          </w:p>
        </w:tc>
      </w:tr>
      <w:tr>
        <w:trPr>
          <w:trHeight w:val="113"/>
        </w:trPr>
        <w:tc>
          <w:tcPr>
            <w:tcW w:w="138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(1951)</w:t>
            </w:r>
          </w:p>
        </w:tc>
        <w:tc>
          <w:tcPr>
            <w:tcW w:w="1060" w:type="dxa"/>
            <w:vAlign w:val="bottom"/>
          </w:tcPr>
          <w:p>
            <w:pPr>
              <w:spacing w:after="0"/>
              <w:rPr>
                <w:sz w:val="9"/>
                <w:szCs w:val="9"/>
                <w:color w:val="auto"/>
              </w:rPr>
            </w:pPr>
          </w:p>
        </w:tc>
        <w:tc>
          <w:tcPr>
            <w:tcW w:w="1680" w:type="dxa"/>
            <w:vAlign w:val="bottom"/>
          </w:tcPr>
          <w:p>
            <w:pPr>
              <w:ind w:left="120"/>
              <w:spacing w:after="0" w:line="113" w:lineRule="exact"/>
              <w:rPr>
                <w:sz w:val="20"/>
                <w:szCs w:val="20"/>
                <w:color w:val="auto"/>
              </w:rPr>
            </w:pPr>
            <w:r>
              <w:rPr>
                <w:rFonts w:ascii="Times New Roman" w:cs="Times New Roman" w:eastAsia="Times New Roman" w:hAnsi="Times New Roman"/>
                <w:sz w:val="11"/>
                <w:szCs w:val="11"/>
                <w:color w:val="auto"/>
              </w:rPr>
              <w:t>annual shareholder meeting –</w:t>
            </w:r>
          </w:p>
        </w:tc>
        <w:tc>
          <w:tcPr>
            <w:tcW w:w="2100" w:type="dxa"/>
            <w:vAlign w:val="bottom"/>
          </w:tcPr>
          <w:p>
            <w:pPr>
              <w:ind w:left="60"/>
              <w:spacing w:after="0" w:line="113" w:lineRule="exact"/>
              <w:rPr>
                <w:sz w:val="20"/>
                <w:szCs w:val="20"/>
                <w:color w:val="auto"/>
              </w:rPr>
            </w:pPr>
            <w:r>
              <w:rPr>
                <w:rFonts w:ascii="Times New Roman" w:cs="Times New Roman" w:eastAsia="Times New Roman" w:hAnsi="Times New Roman"/>
                <w:sz w:val="11"/>
                <w:szCs w:val="11"/>
                <w:color w:val="auto"/>
              </w:rPr>
              <w:t>Coherent Capital</w:t>
            </w: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2012), Forethought Variable Insurance Trust (since</w:t>
            </w: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since July 2023</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Management LLC</w:t>
            </w:r>
          </w:p>
        </w:tc>
        <w:tc>
          <w:tcPr>
            <w:tcW w:w="1360" w:type="dxa"/>
            <w:vAlign w:val="bottom"/>
          </w:tcPr>
          <w:p>
            <w:pPr>
              <w:spacing w:after="0"/>
              <w:rPr>
                <w:sz w:val="9"/>
                <w:szCs w:val="9"/>
                <w:color w:val="auto"/>
              </w:rPr>
            </w:pP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2013), Northern Lights Fund Trust (since 2013),</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(since 2008)</w:t>
            </w:r>
          </w:p>
        </w:tc>
        <w:tc>
          <w:tcPr>
            <w:tcW w:w="1360" w:type="dxa"/>
            <w:vAlign w:val="bottom"/>
          </w:tcPr>
          <w:p>
            <w:pPr>
              <w:spacing w:after="0"/>
              <w:rPr>
                <w:sz w:val="10"/>
                <w:szCs w:val="10"/>
                <w:color w:val="auto"/>
              </w:rPr>
            </w:pPr>
          </w:p>
        </w:tc>
        <w:tc>
          <w:tcPr>
            <w:tcW w:w="27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Northern Lights Variable Trust (since 2013), iCapital</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KKR Private Markets Fund (since 2014), Independent</w:t>
            </w: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Director of OHA CLO Enhanced Equity II Genpar LLP</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(since 2021), and Independent Trustee, Carlyle Tactical</w:t>
            </w:r>
          </w:p>
        </w:tc>
        <w:tc>
          <w:tcPr>
            <w:tcW w:w="0" w:type="dxa"/>
            <w:vAlign w:val="bottom"/>
          </w:tcPr>
          <w:p>
            <w:pPr>
              <w:spacing w:after="0"/>
              <w:rPr>
                <w:sz w:val="1"/>
                <w:szCs w:val="1"/>
                <w:color w:val="auto"/>
              </w:rPr>
            </w:pPr>
          </w:p>
        </w:tc>
      </w:tr>
      <w:tr>
        <w:trPr>
          <w:trHeight w:val="151"/>
        </w:trPr>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Private Credit Fund (since 2018).</w:t>
            </w:r>
          </w:p>
        </w:tc>
        <w:tc>
          <w:tcPr>
            <w:tcW w:w="0" w:type="dxa"/>
            <w:vAlign w:val="bottom"/>
          </w:tcPr>
          <w:p>
            <w:pPr>
              <w:spacing w:after="0"/>
              <w:rPr>
                <w:sz w:val="1"/>
                <w:szCs w:val="1"/>
                <w:color w:val="auto"/>
              </w:rPr>
            </w:pPr>
          </w:p>
        </w:tc>
      </w:tr>
      <w:tr>
        <w:trPr>
          <w:trHeight w:val="105"/>
        </w:trPr>
        <w:tc>
          <w:tcPr>
            <w:tcW w:w="138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color w:val="auto"/>
              </w:rPr>
              <w:t>Sanjeev Handa</w:t>
            </w:r>
          </w:p>
        </w:tc>
        <w:tc>
          <w:tcPr>
            <w:tcW w:w="1060" w:type="dxa"/>
            <w:vAlign w:val="bottom"/>
          </w:tcPr>
          <w:p>
            <w:pPr>
              <w:ind w:left="160"/>
              <w:spacing w:after="0" w:line="105" w:lineRule="exact"/>
              <w:rPr>
                <w:sz w:val="20"/>
                <w:szCs w:val="20"/>
                <w:color w:val="auto"/>
              </w:rPr>
            </w:pPr>
            <w:r>
              <w:rPr>
                <w:rFonts w:ascii="Times New Roman" w:cs="Times New Roman" w:eastAsia="Times New Roman" w:hAnsi="Times New Roman"/>
                <w:sz w:val="11"/>
                <w:szCs w:val="11"/>
                <w:color w:val="auto"/>
              </w:rPr>
              <w:t>Trustee</w:t>
            </w:r>
          </w:p>
        </w:tc>
        <w:tc>
          <w:tcPr>
            <w:tcW w:w="1680" w:type="dxa"/>
            <w:vAlign w:val="bottom"/>
          </w:tcPr>
          <w:p>
            <w:pPr>
              <w:ind w:left="120"/>
              <w:spacing w:after="0" w:line="105" w:lineRule="exact"/>
              <w:rPr>
                <w:sz w:val="20"/>
                <w:szCs w:val="20"/>
                <w:color w:val="auto"/>
              </w:rPr>
            </w:pPr>
            <w:r>
              <w:rPr>
                <w:rFonts w:ascii="Times New Roman" w:cs="Times New Roman" w:eastAsia="Times New Roman" w:hAnsi="Times New Roman"/>
                <w:sz w:val="11"/>
                <w:szCs w:val="11"/>
                <w:color w:val="auto"/>
              </w:rPr>
              <w:t>Class III Board member until</w:t>
            </w:r>
          </w:p>
        </w:tc>
        <w:tc>
          <w:tcPr>
            <w:tcW w:w="2100" w:type="dxa"/>
            <w:vAlign w:val="bottom"/>
          </w:tcPr>
          <w:p>
            <w:pPr>
              <w:ind w:left="60"/>
              <w:spacing w:after="0" w:line="105" w:lineRule="exact"/>
              <w:rPr>
                <w:sz w:val="20"/>
                <w:szCs w:val="20"/>
                <w:color w:val="auto"/>
              </w:rPr>
            </w:pPr>
            <w:r>
              <w:rPr>
                <w:rFonts w:ascii="Times New Roman" w:cs="Times New Roman" w:eastAsia="Times New Roman" w:hAnsi="Times New Roman"/>
                <w:sz w:val="11"/>
                <w:szCs w:val="11"/>
                <w:color w:val="auto"/>
              </w:rPr>
              <w:t>Managing Member, Old Orchard Lane,</w:t>
            </w:r>
          </w:p>
        </w:tc>
        <w:tc>
          <w:tcPr>
            <w:tcW w:w="1360" w:type="dxa"/>
            <w:vAlign w:val="bottom"/>
          </w:tcPr>
          <w:p>
            <w:pPr>
              <w:jc w:val="right"/>
              <w:ind w:right="563"/>
              <w:spacing w:after="0" w:line="105" w:lineRule="exact"/>
              <w:rPr>
                <w:sz w:val="20"/>
                <w:szCs w:val="20"/>
                <w:color w:val="auto"/>
              </w:rPr>
            </w:pPr>
            <w:r>
              <w:rPr>
                <w:rFonts w:ascii="Times New Roman" w:cs="Times New Roman" w:eastAsia="Times New Roman" w:hAnsi="Times New Roman"/>
                <w:sz w:val="11"/>
                <w:szCs w:val="11"/>
                <w:color w:val="auto"/>
              </w:rPr>
              <w:t>2</w:t>
            </w:r>
          </w:p>
        </w:tc>
        <w:tc>
          <w:tcPr>
            <w:tcW w:w="2700" w:type="dxa"/>
            <w:vAlign w:val="bottom"/>
          </w:tcPr>
          <w:p>
            <w:pPr>
              <w:ind w:left="100"/>
              <w:spacing w:after="0" w:line="105" w:lineRule="exact"/>
              <w:rPr>
                <w:sz w:val="20"/>
                <w:szCs w:val="20"/>
                <w:color w:val="auto"/>
              </w:rPr>
            </w:pPr>
            <w:r>
              <w:rPr>
                <w:rFonts w:ascii="Times New Roman" w:cs="Times New Roman" w:eastAsia="Times New Roman" w:hAnsi="Times New Roman"/>
                <w:sz w:val="11"/>
                <w:szCs w:val="11"/>
                <w:color w:val="auto"/>
              </w:rPr>
              <w:t>Advisory Board Member of White Oak Partners (since</w:t>
            </w:r>
          </w:p>
        </w:tc>
        <w:tc>
          <w:tcPr>
            <w:tcW w:w="0" w:type="dxa"/>
            <w:vAlign w:val="bottom"/>
          </w:tcPr>
          <w:p>
            <w:pPr>
              <w:spacing w:after="0"/>
              <w:rPr>
                <w:sz w:val="1"/>
                <w:szCs w:val="1"/>
                <w:color w:val="auto"/>
              </w:rPr>
            </w:pPr>
          </w:p>
        </w:tc>
      </w:tr>
      <w:tr>
        <w:trPr>
          <w:trHeight w:val="113"/>
        </w:trPr>
        <w:tc>
          <w:tcPr>
            <w:tcW w:w="138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(1961)</w:t>
            </w:r>
          </w:p>
        </w:tc>
        <w:tc>
          <w:tcPr>
            <w:tcW w:w="1060" w:type="dxa"/>
            <w:vAlign w:val="bottom"/>
          </w:tcPr>
          <w:p>
            <w:pPr>
              <w:spacing w:after="0"/>
              <w:rPr>
                <w:sz w:val="9"/>
                <w:szCs w:val="9"/>
                <w:color w:val="auto"/>
              </w:rPr>
            </w:pPr>
          </w:p>
        </w:tc>
        <w:tc>
          <w:tcPr>
            <w:tcW w:w="1680" w:type="dxa"/>
            <w:vAlign w:val="bottom"/>
          </w:tcPr>
          <w:p>
            <w:pPr>
              <w:ind w:left="120"/>
              <w:spacing w:after="0" w:line="113" w:lineRule="exact"/>
              <w:rPr>
                <w:sz w:val="20"/>
                <w:szCs w:val="20"/>
                <w:color w:val="auto"/>
              </w:rPr>
            </w:pPr>
            <w:r>
              <w:rPr>
                <w:rFonts w:ascii="Times New Roman" w:cs="Times New Roman" w:eastAsia="Times New Roman" w:hAnsi="Times New Roman"/>
                <w:sz w:val="11"/>
                <w:szCs w:val="11"/>
                <w:color w:val="auto"/>
              </w:rPr>
              <w:t>2024 annual shareholder meeting</w:t>
            </w:r>
          </w:p>
        </w:tc>
        <w:tc>
          <w:tcPr>
            <w:tcW w:w="2100" w:type="dxa"/>
            <w:vAlign w:val="bottom"/>
          </w:tcPr>
          <w:p>
            <w:pPr>
              <w:ind w:left="60"/>
              <w:spacing w:after="0" w:line="113" w:lineRule="exact"/>
              <w:rPr>
                <w:sz w:val="20"/>
                <w:szCs w:val="20"/>
                <w:color w:val="auto"/>
              </w:rPr>
            </w:pPr>
            <w:r>
              <w:rPr>
                <w:rFonts w:ascii="Times New Roman" w:cs="Times New Roman" w:eastAsia="Times New Roman" w:hAnsi="Times New Roman"/>
                <w:sz w:val="11"/>
                <w:szCs w:val="11"/>
                <w:color w:val="auto"/>
              </w:rPr>
              <w:t>LLC (since 2014); Adjunct Professor,</w:t>
            </w: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2021) and Independent Director of OHA CLO Enhanced</w:t>
            </w: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–since July 2023</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Fairfield University (since 2020)</w:t>
            </w:r>
          </w:p>
        </w:tc>
        <w:tc>
          <w:tcPr>
            <w:tcW w:w="1360" w:type="dxa"/>
            <w:vAlign w:val="bottom"/>
          </w:tcPr>
          <w:p>
            <w:pPr>
              <w:spacing w:after="0"/>
              <w:rPr>
                <w:sz w:val="9"/>
                <w:szCs w:val="9"/>
                <w:color w:val="auto"/>
              </w:rPr>
            </w:pP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Equity II Genpar LLP (since 2021), Independent Trustee,</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Carlyle Tactical Private Credit Fund (since March 2018);</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Board of Trustees Investment Committee Member for</w:t>
            </w: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the Cooper Union for Advancement of Science and Art</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(since 2016); Board of Directors Member for the Mutual</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Fund Directors Forum (Since 2022); Independent</w:t>
            </w:r>
          </w:p>
        </w:tc>
        <w:tc>
          <w:tcPr>
            <w:tcW w:w="0" w:type="dxa"/>
            <w:vAlign w:val="bottom"/>
          </w:tcPr>
          <w:p>
            <w:pPr>
              <w:spacing w:after="0"/>
              <w:rPr>
                <w:sz w:val="1"/>
                <w:szCs w:val="1"/>
                <w:color w:val="auto"/>
              </w:rPr>
            </w:pPr>
          </w:p>
        </w:tc>
      </w:tr>
      <w:tr>
        <w:trPr>
          <w:trHeight w:val="153"/>
        </w:trPr>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Director of Fitch Ratings, Inc.(2015-2020).</w:t>
            </w:r>
          </w:p>
        </w:tc>
        <w:tc>
          <w:tcPr>
            <w:tcW w:w="0" w:type="dxa"/>
            <w:vAlign w:val="bottom"/>
          </w:tcPr>
          <w:p>
            <w:pPr>
              <w:spacing w:after="0"/>
              <w:rPr>
                <w:sz w:val="1"/>
                <w:szCs w:val="1"/>
                <w:color w:val="auto"/>
              </w:rPr>
            </w:pPr>
          </w:p>
        </w:tc>
      </w:tr>
      <w:tr>
        <w:trPr>
          <w:trHeight w:val="107"/>
        </w:trPr>
        <w:tc>
          <w:tcPr>
            <w:tcW w:w="1380" w:type="dxa"/>
            <w:vAlign w:val="bottom"/>
          </w:tcPr>
          <w:p>
            <w:pPr>
              <w:ind w:left="20"/>
              <w:spacing w:after="0" w:line="107" w:lineRule="exact"/>
              <w:rPr>
                <w:sz w:val="20"/>
                <w:szCs w:val="20"/>
                <w:color w:val="auto"/>
              </w:rPr>
            </w:pPr>
            <w:r>
              <w:rPr>
                <w:rFonts w:ascii="Times New Roman" w:cs="Times New Roman" w:eastAsia="Times New Roman" w:hAnsi="Times New Roman"/>
                <w:sz w:val="11"/>
                <w:szCs w:val="11"/>
                <w:color w:val="auto"/>
              </w:rPr>
              <w:t>Joan McCabe</w:t>
            </w:r>
          </w:p>
        </w:tc>
        <w:tc>
          <w:tcPr>
            <w:tcW w:w="1060" w:type="dxa"/>
            <w:vAlign w:val="bottom"/>
          </w:tcPr>
          <w:p>
            <w:pPr>
              <w:ind w:left="160"/>
              <w:spacing w:after="0" w:line="107" w:lineRule="exact"/>
              <w:rPr>
                <w:sz w:val="20"/>
                <w:szCs w:val="20"/>
                <w:color w:val="auto"/>
              </w:rPr>
            </w:pPr>
            <w:r>
              <w:rPr>
                <w:rFonts w:ascii="Times New Roman" w:cs="Times New Roman" w:eastAsia="Times New Roman" w:hAnsi="Times New Roman"/>
                <w:sz w:val="11"/>
                <w:szCs w:val="11"/>
                <w:color w:val="auto"/>
              </w:rPr>
              <w:t>Trustee</w:t>
            </w:r>
          </w:p>
        </w:tc>
        <w:tc>
          <w:tcPr>
            <w:tcW w:w="1680" w:type="dxa"/>
            <w:vAlign w:val="bottom"/>
          </w:tcPr>
          <w:p>
            <w:pPr>
              <w:ind w:left="120"/>
              <w:spacing w:after="0" w:line="107" w:lineRule="exact"/>
              <w:rPr>
                <w:sz w:val="20"/>
                <w:szCs w:val="20"/>
                <w:color w:val="auto"/>
              </w:rPr>
            </w:pPr>
            <w:r>
              <w:rPr>
                <w:rFonts w:ascii="Times New Roman" w:cs="Times New Roman" w:eastAsia="Times New Roman" w:hAnsi="Times New Roman"/>
                <w:sz w:val="11"/>
                <w:szCs w:val="11"/>
                <w:color w:val="auto"/>
              </w:rPr>
              <w:t>Class II Board member until</w:t>
            </w:r>
          </w:p>
        </w:tc>
        <w:tc>
          <w:tcPr>
            <w:tcW w:w="2100" w:type="dxa"/>
            <w:vAlign w:val="bottom"/>
          </w:tcPr>
          <w:p>
            <w:pPr>
              <w:ind w:left="60"/>
              <w:spacing w:after="0" w:line="107" w:lineRule="exact"/>
              <w:rPr>
                <w:sz w:val="20"/>
                <w:szCs w:val="20"/>
                <w:color w:val="auto"/>
              </w:rPr>
            </w:pPr>
            <w:r>
              <w:rPr>
                <w:rFonts w:ascii="Times New Roman" w:cs="Times New Roman" w:eastAsia="Times New Roman" w:hAnsi="Times New Roman"/>
                <w:sz w:val="11"/>
                <w:szCs w:val="11"/>
                <w:color w:val="auto"/>
              </w:rPr>
              <w:t>Managing Member, JMYME, LLC (since</w:t>
            </w:r>
          </w:p>
        </w:tc>
        <w:tc>
          <w:tcPr>
            <w:tcW w:w="1360" w:type="dxa"/>
            <w:vAlign w:val="bottom"/>
          </w:tcPr>
          <w:p>
            <w:pPr>
              <w:jc w:val="right"/>
              <w:ind w:right="563"/>
              <w:spacing w:after="0" w:line="107" w:lineRule="exact"/>
              <w:rPr>
                <w:sz w:val="20"/>
                <w:szCs w:val="20"/>
                <w:color w:val="auto"/>
              </w:rPr>
            </w:pPr>
            <w:r>
              <w:rPr>
                <w:rFonts w:ascii="Times New Roman" w:cs="Times New Roman" w:eastAsia="Times New Roman" w:hAnsi="Times New Roman"/>
                <w:sz w:val="11"/>
                <w:szCs w:val="11"/>
                <w:color w:val="auto"/>
              </w:rPr>
              <w:t>2</w:t>
            </w:r>
          </w:p>
        </w:tc>
        <w:tc>
          <w:tcPr>
            <w:tcW w:w="2700" w:type="dxa"/>
            <w:vAlign w:val="bottom"/>
          </w:tcPr>
          <w:p>
            <w:pPr>
              <w:ind w:left="100"/>
              <w:spacing w:after="0" w:line="107" w:lineRule="exact"/>
              <w:rPr>
                <w:sz w:val="20"/>
                <w:szCs w:val="20"/>
                <w:color w:val="auto"/>
              </w:rPr>
            </w:pPr>
            <w:r>
              <w:rPr>
                <w:rFonts w:ascii="Times New Roman" w:cs="Times New Roman" w:eastAsia="Times New Roman" w:hAnsi="Times New Roman"/>
                <w:sz w:val="11"/>
                <w:szCs w:val="11"/>
                <w:color w:val="auto"/>
              </w:rPr>
              <w:t>Board member of Elevation Brands (since 2017 to</w:t>
            </w:r>
          </w:p>
        </w:tc>
        <w:tc>
          <w:tcPr>
            <w:tcW w:w="0" w:type="dxa"/>
            <w:vAlign w:val="bottom"/>
          </w:tcPr>
          <w:p>
            <w:pPr>
              <w:spacing w:after="0"/>
              <w:rPr>
                <w:sz w:val="1"/>
                <w:szCs w:val="1"/>
                <w:color w:val="auto"/>
              </w:rPr>
            </w:pPr>
          </w:p>
        </w:tc>
      </w:tr>
      <w:tr>
        <w:trPr>
          <w:trHeight w:val="113"/>
        </w:trPr>
        <w:tc>
          <w:tcPr>
            <w:tcW w:w="138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(1955)</w:t>
            </w:r>
          </w:p>
        </w:tc>
        <w:tc>
          <w:tcPr>
            <w:tcW w:w="1060" w:type="dxa"/>
            <w:vAlign w:val="bottom"/>
          </w:tcPr>
          <w:p>
            <w:pPr>
              <w:spacing w:after="0"/>
              <w:rPr>
                <w:sz w:val="9"/>
                <w:szCs w:val="9"/>
                <w:color w:val="auto"/>
              </w:rPr>
            </w:pPr>
          </w:p>
        </w:tc>
        <w:tc>
          <w:tcPr>
            <w:tcW w:w="1680" w:type="dxa"/>
            <w:vAlign w:val="bottom"/>
          </w:tcPr>
          <w:p>
            <w:pPr>
              <w:ind w:left="120"/>
              <w:spacing w:after="0" w:line="113" w:lineRule="exact"/>
              <w:rPr>
                <w:sz w:val="20"/>
                <w:szCs w:val="20"/>
                <w:color w:val="auto"/>
              </w:rPr>
            </w:pPr>
            <w:r>
              <w:rPr>
                <w:rFonts w:ascii="Times New Roman" w:cs="Times New Roman" w:eastAsia="Times New Roman" w:hAnsi="Times New Roman"/>
                <w:sz w:val="11"/>
                <w:szCs w:val="11"/>
                <w:color w:val="auto"/>
              </w:rPr>
              <w:t>2023 annual shareholder</w:t>
            </w:r>
          </w:p>
        </w:tc>
        <w:tc>
          <w:tcPr>
            <w:tcW w:w="2100" w:type="dxa"/>
            <w:vAlign w:val="bottom"/>
          </w:tcPr>
          <w:p>
            <w:pPr>
              <w:ind w:left="60"/>
              <w:spacing w:after="0" w:line="113" w:lineRule="exact"/>
              <w:rPr>
                <w:sz w:val="20"/>
                <w:szCs w:val="20"/>
                <w:color w:val="auto"/>
              </w:rPr>
            </w:pPr>
            <w:r>
              <w:rPr>
                <w:rFonts w:ascii="Times New Roman" w:cs="Times New Roman" w:eastAsia="Times New Roman" w:hAnsi="Times New Roman"/>
                <w:sz w:val="11"/>
                <w:szCs w:val="11"/>
                <w:color w:val="auto"/>
              </w:rPr>
              <w:t>2020); and CEO/Founder, Lipotriad LLC</w:t>
            </w: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11/2022);Sensible Organics (2017-2021); Goodwill</w:t>
            </w: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meeting. –since July 2023</w:t>
            </w:r>
          </w:p>
        </w:tc>
        <w:tc>
          <w:tcPr>
            <w:tcW w:w="210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(2015-</w:t>
            </w:r>
          </w:p>
        </w:tc>
        <w:tc>
          <w:tcPr>
            <w:tcW w:w="1360" w:type="dxa"/>
            <w:vAlign w:val="bottom"/>
          </w:tcPr>
          <w:p>
            <w:pPr>
              <w:spacing w:after="0"/>
              <w:rPr>
                <w:sz w:val="9"/>
                <w:szCs w:val="9"/>
                <w:color w:val="auto"/>
              </w:rPr>
            </w:pPr>
          </w:p>
        </w:tc>
        <w:tc>
          <w:tcPr>
            <w:tcW w:w="27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International, Inc. (2015-2021); Gulfstream Goodwill,</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2019)</w:t>
            </w:r>
          </w:p>
        </w:tc>
        <w:tc>
          <w:tcPr>
            <w:tcW w:w="1360" w:type="dxa"/>
            <w:vAlign w:val="bottom"/>
          </w:tcPr>
          <w:p>
            <w:pPr>
              <w:spacing w:after="0"/>
              <w:rPr>
                <w:sz w:val="10"/>
                <w:szCs w:val="10"/>
                <w:color w:val="auto"/>
              </w:rPr>
            </w:pPr>
          </w:p>
        </w:tc>
        <w:tc>
          <w:tcPr>
            <w:tcW w:w="270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Inc. (since 2017; Board Chair since 2021); Gulfstream</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Goodwill Academy, Inc. (since 2017), Goodwill</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International (2015-2021) Independent Trustee Carlyle</w:t>
            </w:r>
          </w:p>
        </w:tc>
        <w:tc>
          <w:tcPr>
            <w:tcW w:w="0" w:type="dxa"/>
            <w:vAlign w:val="bottom"/>
          </w:tcPr>
          <w:p>
            <w:pPr>
              <w:spacing w:after="0"/>
              <w:rPr>
                <w:sz w:val="1"/>
                <w:szCs w:val="1"/>
                <w:color w:val="auto"/>
              </w:rPr>
            </w:pPr>
          </w:p>
        </w:tc>
      </w:tr>
    </w:tbl>
    <w:p>
      <w:pPr>
        <w:ind w:left="7680"/>
        <w:spacing w:after="0"/>
        <w:rPr>
          <w:sz w:val="20"/>
          <w:szCs w:val="20"/>
          <w:color w:val="auto"/>
        </w:rPr>
      </w:pPr>
      <w:r>
        <w:rPr>
          <w:rFonts w:ascii="Times New Roman" w:cs="Times New Roman" w:eastAsia="Times New Roman" w:hAnsi="Times New Roman"/>
          <w:sz w:val="11"/>
          <w:szCs w:val="11"/>
          <w:color w:val="auto"/>
        </w:rPr>
        <w:t>Tactical Private Credit Fund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52843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28435" cy="6985"/>
                    </a:xfrm>
                    <a:prstGeom prst="rect">
                      <a:avLst/>
                    </a:prstGeom>
                    <a:noFill/>
                  </pic:spPr>
                </pic:pic>
              </a:graphicData>
            </a:graphic>
          </wp:anchor>
        </w:drawing>
      </w:r>
    </w:p>
    <w:p>
      <w:pPr>
        <w:spacing w:after="0" w:line="160" w:lineRule="exact"/>
        <w:rPr>
          <w:sz w:val="20"/>
          <w:szCs w:val="20"/>
          <w:color w:val="auto"/>
        </w:rPr>
      </w:pPr>
    </w:p>
    <w:p>
      <w:pPr>
        <w:ind w:left="160" w:hanging="155"/>
        <w:spacing w:after="0"/>
        <w:tabs>
          <w:tab w:leader="none" w:pos="1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address of each Trustee is care of the Secretary of the Fund at One Vanderbilt Avenue, Suite 3400, New York, NY 10017.</w:t>
      </w:r>
    </w:p>
    <w:p>
      <w:pPr>
        <w:spacing w:after="0" w:line="85" w:lineRule="exact"/>
        <w:rPr>
          <w:rFonts w:ascii="Times New Roman" w:cs="Times New Roman" w:eastAsia="Times New Roman" w:hAnsi="Times New Roman"/>
          <w:sz w:val="11"/>
          <w:szCs w:val="11"/>
          <w:color w:val="auto"/>
        </w:rPr>
      </w:pPr>
    </w:p>
    <w:p>
      <w:pPr>
        <w:ind w:right="4500" w:firstLine="5"/>
        <w:spacing w:after="0" w:line="461" w:lineRule="auto"/>
        <w:tabs>
          <w:tab w:leader="none" w:pos="1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“Interested person,” as defined in the 1940 Act, of the Fund. Mr. Marcus and Ms. Basmadjian are interested persons of the Fund due to their affiliation with the Adviser.</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12"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Name, address </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age</w:t>
            </w:r>
          </w:p>
        </w:tc>
        <w:tc>
          <w:tcPr>
            <w:tcW w:w="17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Position(s) Held with the</w:t>
            </w:r>
          </w:p>
        </w:tc>
        <w:tc>
          <w:tcPr>
            <w:tcW w:w="17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Term of Office and Length of</w:t>
            </w:r>
          </w:p>
        </w:tc>
        <w:tc>
          <w:tcPr>
            <w:tcW w:w="53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Principal Occupation(s) During Past 5 Years</w:t>
            </w:r>
          </w:p>
        </w:tc>
        <w:tc>
          <w:tcPr>
            <w:tcW w:w="0" w:type="dxa"/>
            <w:vAlign w:val="bottom"/>
          </w:tcPr>
          <w:p>
            <w:pPr>
              <w:spacing w:after="0"/>
              <w:rPr>
                <w:sz w:val="1"/>
                <w:szCs w:val="1"/>
                <w:color w:val="auto"/>
              </w:rPr>
            </w:pPr>
          </w:p>
        </w:tc>
      </w:tr>
      <w:tr>
        <w:trPr>
          <w:trHeight w:val="157"/>
        </w:trPr>
        <w:tc>
          <w:tcPr>
            <w:tcW w:w="132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Trust</w:t>
            </w:r>
          </w:p>
        </w:tc>
        <w:tc>
          <w:tcPr>
            <w:tcW w:w="1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Time Served</w:t>
            </w:r>
          </w:p>
        </w:tc>
        <w:tc>
          <w:tcPr>
            <w:tcW w:w="5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2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Lauren Basmadjian</w:t>
            </w:r>
          </w:p>
        </w:tc>
        <w:tc>
          <w:tcPr>
            <w:tcW w:w="1760" w:type="dxa"/>
            <w:vAlign w:val="bottom"/>
          </w:tcPr>
          <w:p>
            <w:pPr>
              <w:ind w:left="260"/>
              <w:spacing w:after="0" w:line="101" w:lineRule="exact"/>
              <w:rPr>
                <w:sz w:val="20"/>
                <w:szCs w:val="20"/>
                <w:color w:val="auto"/>
              </w:rPr>
            </w:pPr>
            <w:r>
              <w:rPr>
                <w:rFonts w:ascii="Times New Roman" w:cs="Times New Roman" w:eastAsia="Times New Roman" w:hAnsi="Times New Roman"/>
                <w:sz w:val="11"/>
                <w:szCs w:val="11"/>
                <w:color w:val="auto"/>
              </w:rPr>
              <w:t>President, Principal Executive</w:t>
            </w:r>
          </w:p>
        </w:tc>
        <w:tc>
          <w:tcPr>
            <w:tcW w:w="1780" w:type="dxa"/>
            <w:vAlign w:val="bottom"/>
          </w:tcPr>
          <w:p>
            <w:pPr>
              <w:ind w:left="80"/>
              <w:spacing w:after="0" w:line="101" w:lineRule="exact"/>
              <w:rPr>
                <w:sz w:val="20"/>
                <w:szCs w:val="20"/>
                <w:color w:val="auto"/>
              </w:rPr>
            </w:pPr>
            <w:r>
              <w:rPr>
                <w:rFonts w:ascii="Times New Roman" w:cs="Times New Roman" w:eastAsia="Times New Roman" w:hAnsi="Times New Roman"/>
                <w:sz w:val="11"/>
                <w:szCs w:val="11"/>
                <w:color w:val="auto"/>
              </w:rPr>
              <w:t>Indefinite Length – since July 2023</w:t>
            </w:r>
          </w:p>
        </w:tc>
        <w:tc>
          <w:tcPr>
            <w:tcW w:w="5380" w:type="dxa"/>
            <w:vAlign w:val="bottom"/>
          </w:tcPr>
          <w:p>
            <w:pPr>
              <w:ind w:left="80"/>
              <w:spacing w:after="0" w:line="101" w:lineRule="exact"/>
              <w:rPr>
                <w:sz w:val="20"/>
                <w:szCs w:val="20"/>
                <w:color w:val="auto"/>
              </w:rPr>
            </w:pPr>
            <w:r>
              <w:rPr>
                <w:rFonts w:ascii="Times New Roman" w:cs="Times New Roman" w:eastAsia="Times New Roman" w:hAnsi="Times New Roman"/>
                <w:sz w:val="11"/>
                <w:szCs w:val="11"/>
                <w:color w:val="auto"/>
              </w:rPr>
              <w:t>Managing Director, The Carlyle Group Inc. (Since 2020); Senior Portfolio Manager, Octagon Credit Investors, LLC</w:t>
            </w:r>
          </w:p>
        </w:tc>
        <w:tc>
          <w:tcPr>
            <w:tcW w:w="0" w:type="dxa"/>
            <w:vAlign w:val="bottom"/>
          </w:tcPr>
          <w:p>
            <w:pPr>
              <w:spacing w:after="0"/>
              <w:rPr>
                <w:sz w:val="1"/>
                <w:szCs w:val="1"/>
                <w:color w:val="auto"/>
              </w:rPr>
            </w:pPr>
          </w:p>
        </w:tc>
      </w:tr>
      <w:tr>
        <w:trPr>
          <w:trHeight w:val="151"/>
        </w:trPr>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(1979)</w:t>
            </w:r>
          </w:p>
        </w:tc>
        <w:tc>
          <w:tcPr>
            <w:tcW w:w="1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Officer</w:t>
            </w:r>
          </w:p>
        </w:tc>
        <w:tc>
          <w:tcPr>
            <w:tcW w:w="178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(2001 to 2020)</w:t>
            </w:r>
          </w:p>
        </w:tc>
        <w:tc>
          <w:tcPr>
            <w:tcW w:w="0" w:type="dxa"/>
            <w:vAlign w:val="bottom"/>
          </w:tcPr>
          <w:p>
            <w:pPr>
              <w:spacing w:after="0"/>
              <w:rPr>
                <w:sz w:val="1"/>
                <w:szCs w:val="1"/>
                <w:color w:val="auto"/>
              </w:rPr>
            </w:pPr>
          </w:p>
        </w:tc>
      </w:tr>
      <w:tr>
        <w:trPr>
          <w:trHeight w:val="105"/>
        </w:trPr>
        <w:tc>
          <w:tcPr>
            <w:tcW w:w="132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color w:val="auto"/>
              </w:rPr>
              <w:t>Nelson Joseph</w:t>
            </w:r>
          </w:p>
        </w:tc>
        <w:tc>
          <w:tcPr>
            <w:tcW w:w="1760" w:type="dxa"/>
            <w:vAlign w:val="bottom"/>
          </w:tcPr>
          <w:p>
            <w:pPr>
              <w:ind w:left="260"/>
              <w:spacing w:after="0" w:line="105" w:lineRule="exact"/>
              <w:rPr>
                <w:sz w:val="20"/>
                <w:szCs w:val="20"/>
                <w:color w:val="auto"/>
              </w:rPr>
            </w:pPr>
            <w:r>
              <w:rPr>
                <w:rFonts w:ascii="Times New Roman" w:cs="Times New Roman" w:eastAsia="Times New Roman" w:hAnsi="Times New Roman"/>
                <w:sz w:val="11"/>
                <w:szCs w:val="11"/>
                <w:color w:val="auto"/>
              </w:rPr>
              <w:t>Principal Financial Officer,</w:t>
            </w:r>
          </w:p>
        </w:tc>
        <w:tc>
          <w:tcPr>
            <w:tcW w:w="1780" w:type="dxa"/>
            <w:vAlign w:val="bottom"/>
          </w:tcPr>
          <w:p>
            <w:pPr>
              <w:ind w:left="80"/>
              <w:spacing w:after="0" w:line="105" w:lineRule="exact"/>
              <w:rPr>
                <w:sz w:val="20"/>
                <w:szCs w:val="20"/>
                <w:color w:val="auto"/>
              </w:rPr>
            </w:pPr>
            <w:r>
              <w:rPr>
                <w:rFonts w:ascii="Times New Roman" w:cs="Times New Roman" w:eastAsia="Times New Roman" w:hAnsi="Times New Roman"/>
                <w:sz w:val="11"/>
                <w:szCs w:val="11"/>
                <w:color w:val="auto"/>
              </w:rPr>
              <w:t>Indefinite Length – since July 2023</w:t>
            </w:r>
          </w:p>
        </w:tc>
        <w:tc>
          <w:tcPr>
            <w:tcW w:w="5380" w:type="dxa"/>
            <w:vAlign w:val="bottom"/>
          </w:tcPr>
          <w:p>
            <w:pPr>
              <w:ind w:left="80"/>
              <w:spacing w:after="0" w:line="105" w:lineRule="exact"/>
              <w:rPr>
                <w:sz w:val="20"/>
                <w:szCs w:val="20"/>
                <w:color w:val="auto"/>
              </w:rPr>
            </w:pPr>
            <w:r>
              <w:rPr>
                <w:rFonts w:ascii="Times New Roman" w:cs="Times New Roman" w:eastAsia="Times New Roman" w:hAnsi="Times New Roman"/>
                <w:sz w:val="11"/>
                <w:szCs w:val="11"/>
                <w:color w:val="auto"/>
              </w:rPr>
              <w:t>Principal, Carlyle Group (Since 2023); Director, Apollo Global Management LLC (2016 – 2022)</w:t>
            </w:r>
          </w:p>
        </w:tc>
        <w:tc>
          <w:tcPr>
            <w:tcW w:w="0" w:type="dxa"/>
            <w:vAlign w:val="bottom"/>
          </w:tcPr>
          <w:p>
            <w:pPr>
              <w:spacing w:after="0"/>
              <w:rPr>
                <w:sz w:val="1"/>
                <w:szCs w:val="1"/>
                <w:color w:val="auto"/>
              </w:rPr>
            </w:pPr>
          </w:p>
        </w:tc>
      </w:tr>
      <w:tr>
        <w:trPr>
          <w:trHeight w:val="113"/>
        </w:trPr>
        <w:tc>
          <w:tcPr>
            <w:tcW w:w="132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(1979)</w:t>
            </w:r>
          </w:p>
        </w:tc>
        <w:tc>
          <w:tcPr>
            <w:tcW w:w="1760" w:type="dxa"/>
            <w:vAlign w:val="bottom"/>
          </w:tcPr>
          <w:p>
            <w:pPr>
              <w:ind w:left="260"/>
              <w:spacing w:after="0" w:line="113" w:lineRule="exact"/>
              <w:rPr>
                <w:sz w:val="20"/>
                <w:szCs w:val="20"/>
                <w:color w:val="auto"/>
              </w:rPr>
            </w:pPr>
            <w:r>
              <w:rPr>
                <w:rFonts w:ascii="Times New Roman" w:cs="Times New Roman" w:eastAsia="Times New Roman" w:hAnsi="Times New Roman"/>
                <w:sz w:val="11"/>
                <w:szCs w:val="11"/>
                <w:color w:val="auto"/>
              </w:rPr>
              <w:t>Principal Accounting Officer,</w:t>
            </w:r>
          </w:p>
        </w:tc>
        <w:tc>
          <w:tcPr>
            <w:tcW w:w="1780" w:type="dxa"/>
            <w:vAlign w:val="bottom"/>
          </w:tcPr>
          <w:p>
            <w:pPr>
              <w:spacing w:after="0"/>
              <w:rPr>
                <w:sz w:val="9"/>
                <w:szCs w:val="9"/>
                <w:color w:val="auto"/>
              </w:rPr>
            </w:pPr>
          </w:p>
        </w:tc>
        <w:tc>
          <w:tcPr>
            <w:tcW w:w="5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and Treasurer</w:t>
            </w:r>
          </w:p>
        </w:tc>
        <w:tc>
          <w:tcPr>
            <w:tcW w:w="178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320" w:type="dxa"/>
            <w:vAlign w:val="bottom"/>
          </w:tcPr>
          <w:p>
            <w:pPr>
              <w:ind w:left="20"/>
              <w:spacing w:after="0" w:line="107" w:lineRule="exact"/>
              <w:rPr>
                <w:sz w:val="20"/>
                <w:szCs w:val="20"/>
                <w:color w:val="auto"/>
              </w:rPr>
            </w:pPr>
            <w:r>
              <w:rPr>
                <w:rFonts w:ascii="Times New Roman" w:cs="Times New Roman" w:eastAsia="Times New Roman" w:hAnsi="Times New Roman"/>
                <w:sz w:val="11"/>
                <w:szCs w:val="11"/>
                <w:color w:val="auto"/>
              </w:rPr>
              <w:t>Joshua Lefkowitz</w:t>
            </w:r>
          </w:p>
        </w:tc>
        <w:tc>
          <w:tcPr>
            <w:tcW w:w="1760" w:type="dxa"/>
            <w:vAlign w:val="bottom"/>
          </w:tcPr>
          <w:p>
            <w:pPr>
              <w:ind w:left="260"/>
              <w:spacing w:after="0" w:line="107" w:lineRule="exact"/>
              <w:rPr>
                <w:sz w:val="20"/>
                <w:szCs w:val="20"/>
                <w:color w:val="auto"/>
              </w:rPr>
            </w:pPr>
            <w:r>
              <w:rPr>
                <w:rFonts w:ascii="Times New Roman" w:cs="Times New Roman" w:eastAsia="Times New Roman" w:hAnsi="Times New Roman"/>
                <w:sz w:val="11"/>
                <w:szCs w:val="11"/>
                <w:color w:val="auto"/>
              </w:rPr>
              <w:t>Secretary; Chief Legal Officer;</w:t>
            </w:r>
          </w:p>
        </w:tc>
        <w:tc>
          <w:tcPr>
            <w:tcW w:w="1780" w:type="dxa"/>
            <w:vAlign w:val="bottom"/>
          </w:tcPr>
          <w:p>
            <w:pPr>
              <w:ind w:left="80"/>
              <w:spacing w:after="0" w:line="107" w:lineRule="exact"/>
              <w:rPr>
                <w:sz w:val="20"/>
                <w:szCs w:val="20"/>
                <w:color w:val="auto"/>
              </w:rPr>
            </w:pPr>
            <w:r>
              <w:rPr>
                <w:rFonts w:ascii="Times New Roman" w:cs="Times New Roman" w:eastAsia="Times New Roman" w:hAnsi="Times New Roman"/>
                <w:sz w:val="11"/>
                <w:szCs w:val="11"/>
                <w:color w:val="auto"/>
              </w:rPr>
              <w:t>Indefinite Length – since July 2023</w:t>
            </w:r>
          </w:p>
        </w:tc>
        <w:tc>
          <w:tcPr>
            <w:tcW w:w="5380" w:type="dxa"/>
            <w:vAlign w:val="bottom"/>
          </w:tcPr>
          <w:p>
            <w:pPr>
              <w:ind w:left="80"/>
              <w:spacing w:after="0" w:line="107" w:lineRule="exact"/>
              <w:rPr>
                <w:sz w:val="20"/>
                <w:szCs w:val="20"/>
                <w:color w:val="auto"/>
              </w:rPr>
            </w:pPr>
            <w:r>
              <w:rPr>
                <w:rFonts w:ascii="Times New Roman" w:cs="Times New Roman" w:eastAsia="Times New Roman" w:hAnsi="Times New Roman"/>
                <w:sz w:val="11"/>
                <w:szCs w:val="11"/>
                <w:color w:val="auto"/>
              </w:rPr>
              <w:t>Managing Director and Chief Legal Officer (Global Credit), Carlyle Group (Since 2018); Principal and Associate</w:t>
            </w:r>
          </w:p>
        </w:tc>
        <w:tc>
          <w:tcPr>
            <w:tcW w:w="0" w:type="dxa"/>
            <w:vAlign w:val="bottom"/>
          </w:tcPr>
          <w:p>
            <w:pPr>
              <w:spacing w:after="0"/>
              <w:rPr>
                <w:sz w:val="1"/>
                <w:szCs w:val="1"/>
                <w:color w:val="auto"/>
              </w:rPr>
            </w:pPr>
          </w:p>
        </w:tc>
      </w:tr>
      <w:tr>
        <w:trPr>
          <w:trHeight w:val="113"/>
        </w:trPr>
        <w:tc>
          <w:tcPr>
            <w:tcW w:w="132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(1974)</w:t>
            </w:r>
          </w:p>
        </w:tc>
        <w:tc>
          <w:tcPr>
            <w:tcW w:w="1760" w:type="dxa"/>
            <w:vAlign w:val="bottom"/>
          </w:tcPr>
          <w:p>
            <w:pPr>
              <w:ind w:left="260"/>
              <w:spacing w:after="0" w:line="113" w:lineRule="exact"/>
              <w:rPr>
                <w:sz w:val="20"/>
                <w:szCs w:val="20"/>
                <w:color w:val="auto"/>
              </w:rPr>
            </w:pPr>
            <w:r>
              <w:rPr>
                <w:rFonts w:ascii="Times New Roman" w:cs="Times New Roman" w:eastAsia="Times New Roman" w:hAnsi="Times New Roman"/>
                <w:sz w:val="11"/>
                <w:szCs w:val="11"/>
                <w:color w:val="auto"/>
              </w:rPr>
              <w:t>Chief Compliance Officer</w:t>
            </w:r>
          </w:p>
        </w:tc>
        <w:tc>
          <w:tcPr>
            <w:tcW w:w="1780" w:type="dxa"/>
            <w:vAlign w:val="bottom"/>
          </w:tcPr>
          <w:p>
            <w:pPr>
              <w:spacing w:after="0"/>
              <w:rPr>
                <w:sz w:val="9"/>
                <w:szCs w:val="9"/>
                <w:color w:val="auto"/>
              </w:rPr>
            </w:pPr>
          </w:p>
        </w:tc>
        <w:tc>
          <w:tcPr>
            <w:tcW w:w="538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General Counsel, Ares Management, Ltd. (Jan 2017 – Mar 2018); Vice President and Associate General Counsel,</w:t>
            </w:r>
          </w:p>
        </w:tc>
        <w:tc>
          <w:tcPr>
            <w:tcW w:w="0" w:type="dxa"/>
            <w:vAlign w:val="bottom"/>
          </w:tcPr>
          <w:p>
            <w:pPr>
              <w:spacing w:after="0"/>
              <w:rPr>
                <w:sz w:val="1"/>
                <w:szCs w:val="1"/>
                <w:color w:val="auto"/>
              </w:rPr>
            </w:pPr>
          </w:p>
        </w:tc>
      </w:tr>
      <w:tr>
        <w:trPr>
          <w:trHeight w:val="153"/>
        </w:trPr>
        <w:tc>
          <w:tcPr>
            <w:tcW w:w="1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American Capital, Ltd. (Mar 2006 – Jan 2017)</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address of each officer is care of the Secretary of the Fund at One Vanderbilt Avenue, Suite 3400, New York, NY 10017.</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Biographical Information and Discussion of Experience and Qualifications, etc.</w:t>
      </w:r>
    </w:p>
    <w:p>
      <w:pPr>
        <w:spacing w:after="0" w:line="9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experience, qualifications, attributes and skills of each Trustee that support the conclusion, as of the date of this Annual Report, that each Trustee should serve as a Trustee of the Fund.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Interested Trustee</w:t>
      </w:r>
    </w:p>
    <w:p>
      <w:pPr>
        <w:spacing w:after="0" w:line="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Brian Marcus. </w:t>
      </w:r>
      <w:r>
        <w:rPr>
          <w:rFonts w:ascii="Times New Roman" w:cs="Times New Roman" w:eastAsia="Times New Roman" w:hAnsi="Times New Roman"/>
          <w:sz w:val="14"/>
          <w:szCs w:val="14"/>
          <w:color w:val="auto"/>
        </w:rPr>
        <w:t>Brian Marcus has over 15 years of experience in highly regulated financial markets. Additionally, he is a Managing Director of Carlyle Global Credit Investment Management L.L.C.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 also focuses on strategic growth opportunities for the Global Credit platform of The Carlyle Group Inc.(the ultimate parent company of CGCIM). He also helped develop TCG Capital Markets L.L.C., an SEC-registered broker/dealer affiliate of The Carlyle Group Inc. and has been involved in acquisitions of credit management platforms. Prior to coming to Carlyle, Mr. Marcus was with Morgan Stanley in the Principal Investments area, which used the firm’s capital in a diverse array of investments including private equity, distressed debt, and mezzanine. In this role, Mr. Marcus served as a director on a number of Boards. Previously, Mr. Marcus worked at Lehman Brothers in the mergers and acquisitions group. He received a B.S. in Economics from the Wharton School of the University of Pennsylvania and currently holds Series 7, 55 and 63 licenses. His service as an officer for another investment company contributes to his qualifications to serve as a Trustee of the Fund.</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Lauren Basmadjian. </w:t>
      </w:r>
      <w:r>
        <w:rPr>
          <w:rFonts w:ascii="Times New Roman" w:cs="Times New Roman" w:eastAsia="Times New Roman" w:hAnsi="Times New Roman"/>
          <w:sz w:val="14"/>
          <w:szCs w:val="14"/>
          <w:color w:val="auto"/>
        </w:rPr>
        <w:t>Lauren Basmadjian has over 20 years of experience in financial and corporate markets. She is a Managing Director, Co-Head of Liquid Credit and Head of US Loans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Structured Credit within The Carlyle Group Inc.’s Global Credit platform, overseeing over $48 billion of AUM. She is based in New York and sits on the Investment Committees for all of The Carlyle Group Inc.’s US Loan, CLO and Liquid and Illiquid Credit investing activities. Ms. Basmadjian joined The Carlyle Group Inc. in 2020 after 19 years at Octagon Credit Investors, LLC, where she was a Senior Portfolio Manager, member of the Investment Committee and managed XAI Octagon Floating Rate &amp; Alternative Income Term Trust, a public 1940 Act fund invested in CLO tranches and leveraged loans. Prior to becoming a Portfolio Manager, Ms. Basmadjian managed Octagon’s workout efforts and also oversaw the leisure &amp; entertainment, retail, consumer products, business services, food &amp; beverage and technology industries. Before joining Octagon, Ms. Basmadjian worked in the Acquisition Finance Group at Chase Securities, Inc. She graduated Cum Laude from the Stern School of Business at New York University with a B.S. in Finance and Economics. Her diverse experience and financial background, among other things, qualifies her to serve as a Trustee.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Independent Trustees</w:t>
      </w:r>
    </w:p>
    <w:p>
      <w:pPr>
        <w:spacing w:after="0" w:line="9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i w:val="1"/>
          <w:iCs w:val="1"/>
          <w:color w:val="auto"/>
        </w:rPr>
        <w:t>Mark Garbin</w:t>
      </w:r>
      <w:r>
        <w:rPr>
          <w:rFonts w:ascii="Times New Roman" w:cs="Times New Roman" w:eastAsia="Times New Roman" w:hAnsi="Times New Roman"/>
          <w:sz w:val="14"/>
          <w:szCs w:val="14"/>
          <w:color w:val="auto"/>
        </w:rPr>
        <w:t>. Mark Garbin has over 30 years of experience in corporate balance sheet and income statement risk management for large asset managers. Mr. Garbin has extensive derivatives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experience and has provided consulting services to alternative asset managers. Mr. Garbin holds the CFA and Professional Risk Manager (PRM) Charters and has advanced degrees in international business, negotiation and derivatives. He also has extensive experience with respect to investments and also to compliance and corporate governance matters as a result of, among other things, his service as a board member to other investment companies.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88" w:right="359" w:bottom="1440" w:gutter="0" w:footer="0" w:header="0"/>
        </w:sectPr>
      </w:pPr>
    </w:p>
    <w:bookmarkStart w:id="43" w:name="page44"/>
    <w:bookmarkEnd w:id="43"/>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Sanjeev Handa. </w:t>
      </w:r>
      <w:r>
        <w:rPr>
          <w:rFonts w:ascii="Times New Roman" w:cs="Times New Roman" w:eastAsia="Times New Roman" w:hAnsi="Times New Roman"/>
          <w:sz w:val="14"/>
          <w:szCs w:val="14"/>
          <w:color w:val="auto"/>
        </w:rPr>
        <w:t>Sanjeev Handa has over 30 years of experience in the financial industry sector, including global experience in the financial, real estate and securitization markets. Mr. Handa is also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advisory board member of White Oak Partners (since 2021), and a member of the Investment Committee of the Board of Trustees of The Cooper Union for Advancement of Science and Art. He also formerly served as an independent director of Fitch Ratings, Inc. and Fitch Ratings, Ltd. (2015-2020). Mr. Handa also serves as an independent director of OHA CLO Enhanced Equity II Genpar LLP (since 2021). Mr. Handa has extensive experience with respect to investments and also to compliance and corporate governance matters as a result of, among other things, his service as a board member to another investment company. He also serves as an audit committee chairman and audit committee financial expert for another investment company.</w:t>
      </w:r>
    </w:p>
    <w:p>
      <w:pPr>
        <w:spacing w:after="0" w:line="5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Joan McCabe</w:t>
      </w:r>
      <w:r>
        <w:rPr>
          <w:rFonts w:ascii="Times New Roman" w:cs="Times New Roman" w:eastAsia="Times New Roman" w:hAnsi="Times New Roman"/>
          <w:sz w:val="14"/>
          <w:szCs w:val="14"/>
          <w:color w:val="auto"/>
        </w:rPr>
        <w:t>. Joan McCabe has over 30 years of financial and corporate experience, including investing in private equity along with debt financings for those private equity investments. 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McCabe is also a board member of Gulfstream Goodwill, Inc. (since 2017 and current Board Chair), Gulfstream Goodwill Academy, Inc. (since 2018) and Elevation Brands (since 2017). She formerly served as a board member of Goodwill International, Inc. (2015-2021) and Sensible Organics (2017-2021). Ms. McCabe has served as a board member to a variety of companies, including another investment company, and her diverse experience and financial background, among other things, qualifies her to serve as a Trustee.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PORTFOLIO PROXY VOTING POLICIES AND PROXY VOTING RECORD (Unaudited)</w:t>
      </w:r>
    </w:p>
    <w:p>
      <w:pPr>
        <w:spacing w:after="0" w:line="9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Fund has delegated its proxy voting responsibility to the Adviser. The proxy voting policies and procedures of the Adviser are set forth below. The guidelines are reviewed periodically by the Adviser and the Independent Trustees and, accordingly, are subject to change.</w:t>
      </w:r>
    </w:p>
    <w:p>
      <w:pPr>
        <w:spacing w:after="0" w:line="3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spacing w:after="0" w:line="58"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spacing w:after="0" w:line="5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Fund shall file an annual report of each proxy voted with respect to portfolio securities of the Fund during the twelve-month period ended June 30 on Form N-PX not later than August 31 of each year.</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CARLYLE CREDIT INCOME FUND</w:t>
      </w:r>
    </w:p>
    <w:p>
      <w:pPr>
        <w:sectPr>
          <w:pgSz w:w="11900" w:h="16838" w:orient="portrait"/>
          <w:cols w:equalWidth="0" w:num="1">
            <w:col w:w="11160"/>
          </w:cols>
          <w:pgMar w:left="300" w:top="717" w:right="439" w:bottom="1440" w:gutter="0" w:footer="0" w:header="0"/>
        </w:sectPr>
      </w:pP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Adviser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Carlyle Global Credit Investment Management L.L.C.</w:t>
      </w:r>
    </w:p>
    <w:p>
      <w:pPr>
        <w:spacing w:after="0" w:line="178" w:lineRule="exact"/>
        <w:rPr>
          <w:sz w:val="20"/>
          <w:szCs w:val="20"/>
          <w:color w:val="auto"/>
        </w:rPr>
      </w:pPr>
    </w:p>
    <w:p>
      <w:pPr>
        <w:sectPr>
          <w:pgSz w:w="11900" w:h="16838" w:orient="portrait"/>
          <w:cols w:equalWidth="0" w:num="2">
            <w:col w:w="2460" w:space="720"/>
            <w:col w:w="7980"/>
          </w:cols>
          <w:pgMar w:left="300" w:top="717" w:right="4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2"/>
          <w:szCs w:val="12"/>
          <w:b w:val="1"/>
          <w:bCs w:val="1"/>
          <w:color w:val="auto"/>
        </w:rPr>
        <w:t>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Equiniti Trust Company LLC, (formerly known as American Stock Transfer &amp; Trust Company)</w:t>
      </w:r>
    </w:p>
    <w:p>
      <w:pPr>
        <w:spacing w:after="0" w:line="104" w:lineRule="exact"/>
        <w:rPr>
          <w:sz w:val="20"/>
          <w:szCs w:val="20"/>
          <w:color w:val="auto"/>
        </w:rPr>
      </w:pPr>
    </w:p>
    <w:p>
      <w:pPr>
        <w:sectPr>
          <w:pgSz w:w="11900" w:h="16838" w:orient="portrait"/>
          <w:cols w:equalWidth="0" w:num="2">
            <w:col w:w="2460" w:space="720"/>
            <w:col w:w="7980"/>
          </w:cols>
          <w:pgMar w:left="300" w:top="717" w:right="4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2"/>
          <w:szCs w:val="12"/>
          <w:b w:val="1"/>
          <w:bCs w:val="1"/>
          <w:color w:val="auto"/>
        </w:rPr>
        <w:t>Legal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Dechert LLP</w:t>
      </w:r>
    </w:p>
    <w:p>
      <w:pPr>
        <w:spacing w:after="0" w:line="104" w:lineRule="exact"/>
        <w:rPr>
          <w:sz w:val="20"/>
          <w:szCs w:val="20"/>
          <w:color w:val="auto"/>
        </w:rPr>
      </w:pPr>
    </w:p>
    <w:p>
      <w:pPr>
        <w:sectPr>
          <w:pgSz w:w="11900" w:h="16838" w:orient="portrait"/>
          <w:cols w:equalWidth="0" w:num="2">
            <w:col w:w="2460" w:space="720"/>
            <w:col w:w="7980"/>
          </w:cols>
          <w:pgMar w:left="300" w:top="717" w:right="4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2"/>
          <w:szCs w:val="12"/>
          <w:b w:val="1"/>
          <w:bCs w:val="1"/>
          <w:color w:val="auto"/>
        </w:rPr>
        <w:t>Ticker Symbols</w:t>
      </w:r>
    </w:p>
    <w:p>
      <w:pPr>
        <w:sectPr>
          <w:pgSz w:w="11900" w:h="16838" w:orient="portrait"/>
          <w:cols w:equalWidth="0" w:num="1">
            <w:col w:w="11160"/>
          </w:cols>
          <w:pgMar w:left="300" w:top="717" w:right="439" w:bottom="144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Common Shares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CCIF</w:t>
      </w:r>
    </w:p>
    <w:p>
      <w:pPr>
        <w:spacing w:after="0" w:line="32" w:lineRule="exact"/>
        <w:rPr>
          <w:sz w:val="20"/>
          <w:szCs w:val="20"/>
          <w:color w:val="auto"/>
        </w:rPr>
      </w:pPr>
    </w:p>
    <w:p>
      <w:pPr>
        <w:sectPr>
          <w:pgSz w:w="11900" w:h="16838" w:orient="portrait"/>
          <w:cols w:equalWidth="0" w:num="2">
            <w:col w:w="2460" w:space="720"/>
            <w:col w:w="7980"/>
          </w:cols>
          <w:pgMar w:left="300" w:top="717" w:right="4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2"/>
          <w:szCs w:val="12"/>
          <w:color w:val="auto"/>
        </w:rPr>
        <w:t>Preferred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CCIA</w:t>
      </w:r>
    </w:p>
    <w:p>
      <w:pPr>
        <w:spacing w:after="0" w:line="200" w:lineRule="exact"/>
        <w:rPr>
          <w:sz w:val="20"/>
          <w:szCs w:val="20"/>
          <w:color w:val="auto"/>
        </w:rPr>
      </w:pPr>
    </w:p>
    <w:p>
      <w:pPr>
        <w:sectPr>
          <w:pgSz w:w="11900" w:h="16838" w:orient="portrait"/>
          <w:cols w:equalWidth="0" w:num="2">
            <w:col w:w="2460" w:space="720"/>
            <w:col w:w="7980"/>
          </w:cols>
          <w:pgMar w:left="300" w:top="717" w:right="4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2022 The Carlyle Group Inc. All rights reserved.</w:t>
      </w:r>
    </w:p>
    <w:p>
      <w:pPr>
        <w:sectPr>
          <w:pgSz w:w="11900" w:h="16838" w:orient="portrait"/>
          <w:cols w:equalWidth="0" w:num="1">
            <w:col w:w="11160"/>
          </w:cols>
          <w:pgMar w:left="300" w:top="717" w:right="4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NOTICE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Carlyle Credit Income Fund shareholder, you are entitled to know how we protect your personal information and how we limit its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Information Sources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obtain non-public personal information about our shareholders from transactions with us, our affiliates, or others.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Protection of Information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do not disclose any non-public personal information (such as names on a customer list) about current or former customers to anyone, except as permitted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Disclosure of Information</w:t>
      </w:r>
    </w:p>
    <w:p>
      <w:pPr>
        <w:spacing w:after="0" w:line="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may use details about you and your investments to help us, our financial service affiliates, or firms that jointly market their financial products and services with ours, to better serve your investment needs or suggest educational material that may be of interest to you. If this requires us to provide you with an opportunity to “opt in” or “opt out” of such information sharing with a firm not affiliated with us, you will receive notification on how to do so, before any such sharing takes place.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Right of Refusal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disclose your personal information to unaffiliated third parties (except as permitted by law), unless we first offer you a reasonable opportunity to refuse or “opt out” of such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Security Measures</w:t>
      </w:r>
    </w:p>
    <w:p>
      <w:pPr>
        <w:spacing w:after="0" w:line="5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3"/>
          <w:szCs w:val="13"/>
          <w:color w:val="auto"/>
        </w:rPr>
        <w:t>We maintain physical, electronic and procedural safeguards to protect your personal account information. Our employees and agents have access to that information only so that they may offer you products or provide services, for example, when responding to your account questions.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Who We Are</w:t>
      </w:r>
    </w:p>
    <w:p>
      <w:pPr>
        <w:spacing w:after="0" w:line="5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3"/>
          <w:szCs w:val="13"/>
          <w:color w:val="auto"/>
        </w:rPr>
        <w:t>This notice describes the privacy policy of the Carlyle Credit Income Fund. In the event it is updated or changed, we will post an updated notice on our website at www.CarlyleCreditIncomeFund.com. If you have any questions about this privacy policy write to us at 6201, 15th Ave., Brooklyn. NY 11219 or call us at (866) 277-8243.</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17" w:right="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2. Code of Ethics</w:t>
      </w:r>
    </w:p>
    <w:p>
      <w:pPr>
        <w:spacing w:after="0" w:line="362" w:lineRule="exact"/>
        <w:rPr>
          <w:sz w:val="20"/>
          <w:szCs w:val="20"/>
          <w:color w:val="auto"/>
        </w:rPr>
      </w:pPr>
    </w:p>
    <w:p>
      <w:pPr>
        <w:ind w:left="520" w:right="20" w:hanging="260"/>
        <w:spacing w:after="0" w:line="324" w:lineRule="auto"/>
        <w:tabs>
          <w:tab w:leader="none" w:pos="513"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end of the period covered by this report, Carlyle Credit Income Fund (the “Fund or “Registrant”) has adopted a code of ethics (the “Code of Ethics”) that applies to the Registrant’s principal executive officer, principal financial officer, principal accounting officer or controller, or persons performing similar functions, regardless of whether these individuals are employed by the Registrant or a third party.</w:t>
      </w:r>
    </w:p>
    <w:p>
      <w:pPr>
        <w:spacing w:after="0" w:line="19" w:lineRule="exact"/>
        <w:rPr>
          <w:rFonts w:ascii="Times New Roman" w:cs="Times New Roman" w:eastAsia="Times New Roman" w:hAnsi="Times New Roman"/>
          <w:sz w:val="12"/>
          <w:szCs w:val="12"/>
          <w:color w:val="auto"/>
        </w:rPr>
      </w:pPr>
    </w:p>
    <w:p>
      <w:pPr>
        <w:ind w:left="520" w:hanging="260"/>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item, “code of ethics” means written standards that are reasonably designed to deter wrongdoing and to promote:</w:t>
      </w:r>
    </w:p>
    <w:p>
      <w:pPr>
        <w:spacing w:after="0" w:line="94" w:lineRule="exact"/>
        <w:rPr>
          <w:rFonts w:ascii="Times New Roman" w:cs="Times New Roman" w:eastAsia="Times New Roman" w:hAnsi="Times New Roman"/>
          <w:sz w:val="13"/>
          <w:szCs w:val="13"/>
          <w:color w:val="auto"/>
        </w:rPr>
      </w:pPr>
    </w:p>
    <w:p>
      <w:pPr>
        <w:ind w:left="1020" w:hanging="318"/>
        <w:spacing w:after="0"/>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Honest and ethical conduct, including the ethical handling of actual or apparent conflicts of interest between personal and professional relationships;</w:t>
      </w:r>
    </w:p>
    <w:p>
      <w:pPr>
        <w:spacing w:after="0" w:line="83" w:lineRule="exact"/>
        <w:rPr>
          <w:rFonts w:ascii="Times New Roman" w:cs="Times New Roman" w:eastAsia="Times New Roman" w:hAnsi="Times New Roman"/>
          <w:sz w:val="13"/>
          <w:szCs w:val="13"/>
          <w:color w:val="auto"/>
        </w:rPr>
      </w:pPr>
    </w:p>
    <w:p>
      <w:pPr>
        <w:ind w:left="1020" w:right="420" w:hanging="354"/>
        <w:spacing w:after="0" w:line="264" w:lineRule="auto"/>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fair, accurate, timely, and understandable disclosure in reports and documents that a Registrant files with, or submits to, the Commission and in other public communications made by the Registrant;</w:t>
      </w:r>
    </w:p>
    <w:p>
      <w:pPr>
        <w:spacing w:after="0" w:line="63" w:lineRule="exact"/>
        <w:rPr>
          <w:rFonts w:ascii="Times New Roman" w:cs="Times New Roman" w:eastAsia="Times New Roman" w:hAnsi="Times New Roman"/>
          <w:sz w:val="13"/>
          <w:szCs w:val="13"/>
          <w:color w:val="auto"/>
        </w:rPr>
      </w:pPr>
    </w:p>
    <w:p>
      <w:pPr>
        <w:ind w:left="1020" w:hanging="389"/>
        <w:spacing w:after="0"/>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applicable governmental laws, rules, and regulations;</w:t>
      </w:r>
    </w:p>
    <w:p>
      <w:pPr>
        <w:spacing w:after="0" w:line="83" w:lineRule="exact"/>
        <w:rPr>
          <w:rFonts w:ascii="Times New Roman" w:cs="Times New Roman" w:eastAsia="Times New Roman" w:hAnsi="Times New Roman"/>
          <w:sz w:val="13"/>
          <w:szCs w:val="13"/>
          <w:color w:val="auto"/>
        </w:rPr>
      </w:pPr>
    </w:p>
    <w:p>
      <w:pPr>
        <w:ind w:left="1020" w:hanging="382"/>
        <w:spacing w:after="0"/>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prompt internal reporting of violations of the code to an appropriate person or persons identified in the code; and</w:t>
      </w:r>
    </w:p>
    <w:p>
      <w:pPr>
        <w:spacing w:after="0" w:line="94" w:lineRule="exact"/>
        <w:rPr>
          <w:rFonts w:ascii="Times New Roman" w:cs="Times New Roman" w:eastAsia="Times New Roman" w:hAnsi="Times New Roman"/>
          <w:sz w:val="13"/>
          <w:szCs w:val="13"/>
          <w:color w:val="auto"/>
        </w:rPr>
      </w:pPr>
    </w:p>
    <w:p>
      <w:pPr>
        <w:ind w:left="1020" w:hanging="347"/>
        <w:spacing w:after="0"/>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Accountability for adherence to the code</w:t>
      </w:r>
    </w:p>
    <w:p>
      <w:pPr>
        <w:spacing w:after="0" w:line="83" w:lineRule="exact"/>
        <w:rPr>
          <w:rFonts w:ascii="Times New Roman" w:cs="Times New Roman" w:eastAsia="Times New Roman" w:hAnsi="Times New Roman"/>
          <w:sz w:val="13"/>
          <w:szCs w:val="13"/>
          <w:color w:val="auto"/>
        </w:rPr>
      </w:pPr>
    </w:p>
    <w:p>
      <w:pPr>
        <w:ind w:left="520" w:hanging="260"/>
        <w:spacing w:after="0" w:line="252" w:lineRule="auto"/>
        <w:tabs>
          <w:tab w:leader="none" w:pos="5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Amendments: During the period covered by this Form N-CSR, there were amendments to a provision of the code of ethics adopted in 2(a) above. Effective July 17, 2023, the code of ethics was amended to conform to the code of ethics adopted by another registered investment company advised by the Adviser. The provisions of the code of ethics are intended to be written standards that are reasonably designed to deter wrongdoing and to promote each element enumerated in the code of ethics definition in Item 2(b) of the instructions for completion of Form N-CSR. A copy of the currently applicable code is included as an exhibit.</w:t>
      </w:r>
    </w:p>
    <w:p>
      <w:pPr>
        <w:spacing w:after="0" w:line="61"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Waivers: During the period covered by the report, the Registrant has not granted any express or implicit waivers from the provisions of the code of ethics.</w:t>
      </w:r>
    </w:p>
    <w:p>
      <w:pPr>
        <w:spacing w:after="0" w:line="94"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83"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Code of Ethics is attached hereto as Exhibit 13(a)(1).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3. Audit Committee Financial Expert</w:t>
      </w:r>
    </w:p>
    <w:p>
      <w:pPr>
        <w:spacing w:after="0" w:line="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color w:val="auto"/>
        </w:rPr>
        <w:t>(a)(1)</w:t>
      </w:r>
      <w:r>
        <w:rPr>
          <w:sz w:val="20"/>
          <w:szCs w:val="20"/>
          <w:color w:val="auto"/>
        </w:rPr>
        <w:tab/>
      </w:r>
      <w:r>
        <w:rPr>
          <w:rFonts w:ascii="Times New Roman" w:cs="Times New Roman" w:eastAsia="Times New Roman" w:hAnsi="Times New Roman"/>
          <w:sz w:val="12"/>
          <w:szCs w:val="12"/>
          <w:color w:val="auto"/>
        </w:rPr>
        <w:t>The Board of Trustees of the Registrant (the “Board”) has determined that the Registrant has at least one Audit Committee Financial Expert serving on its audit committee (the “Audit Committee”).</w:t>
      </w:r>
    </w:p>
    <w:p>
      <w:pPr>
        <w:spacing w:after="0" w:line="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color w:val="auto"/>
        </w:rPr>
        <w:t>(a)(2)</w:t>
      </w:r>
      <w:r>
        <w:rPr>
          <w:sz w:val="20"/>
          <w:szCs w:val="20"/>
          <w:color w:val="auto"/>
        </w:rPr>
        <w:tab/>
      </w:r>
      <w:r>
        <w:rPr>
          <w:rFonts w:ascii="Times New Roman" w:cs="Times New Roman" w:eastAsia="Times New Roman" w:hAnsi="Times New Roman"/>
          <w:sz w:val="12"/>
          <w:szCs w:val="12"/>
          <w:color w:val="auto"/>
        </w:rPr>
        <w:t>The Board of the Registrant has designated Sanjeev Handa, as the Registrant’s Audit Committee Financial Expert. Sanjeev Handa is “independent” as defined in paragraph (a)(2) of Item 3 to Form N-CSR.</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color w:val="auto"/>
        </w:rPr>
        <w:t>(a)(3)</w:t>
      </w:r>
      <w:r>
        <w:rPr>
          <w:sz w:val="20"/>
          <w:szCs w:val="20"/>
          <w:color w:val="auto"/>
        </w:rPr>
        <w:tab/>
      </w:r>
      <w:r>
        <w:rPr>
          <w:rFonts w:ascii="Times New Roman" w:cs="Times New Roman" w:eastAsia="Times New Roman" w:hAnsi="Times New Roman"/>
          <w:sz w:val="12"/>
          <w:szCs w:val="12"/>
          <w:color w:val="auto"/>
        </w:rPr>
        <w:t>Not applicable.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4. Principal Accountant Fees and Services</w:t>
      </w:r>
    </w:p>
    <w:p>
      <w:pPr>
        <w:spacing w:after="0" w:line="86" w:lineRule="exact"/>
        <w:rPr>
          <w:sz w:val="20"/>
          <w:szCs w:val="20"/>
          <w:color w:val="auto"/>
        </w:rPr>
      </w:pPr>
    </w:p>
    <w:p>
      <w:pPr>
        <w:ind w:left="520" w:right="20" w:hanging="515"/>
        <w:spacing w:after="0" w:line="235" w:lineRule="auto"/>
        <w:tabs>
          <w:tab w:leader="none" w:pos="27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 The aggregate fees billed for professional services rendered by Ernst &amp; Young, LLP (“E&amp;Y”) for the audit of the Registrant’s annual financial statements and for services that are normally provided by E&amp;Y in connection with statutory and regulatory filings for the fiscal year ended September 30, 2023, were $216,000 and for the fiscal year ended September 30, 2022, were $190,868.</w:t>
      </w:r>
    </w:p>
    <w:p>
      <w:pPr>
        <w:spacing w:after="0" w:line="163" w:lineRule="exact"/>
        <w:rPr>
          <w:rFonts w:ascii="Times New Roman" w:cs="Times New Roman" w:eastAsia="Times New Roman" w:hAnsi="Times New Roman"/>
          <w:sz w:val="13"/>
          <w:szCs w:val="13"/>
          <w:color w:val="auto"/>
        </w:rPr>
      </w:pPr>
    </w:p>
    <w:p>
      <w:pPr>
        <w:ind w:left="520" w:right="260" w:hanging="515"/>
        <w:spacing w:after="0" w:line="247" w:lineRule="auto"/>
        <w:tabs>
          <w:tab w:leader="none" w:pos="27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Related Fees – The aggregate fees billed for assurance and related services rendered by E&amp;Y that are reasonably related to the performance of the audit of the Registrant’s financial statements and are not reported under paragraph (a) of this Item for the fiscal year ended September 30, 2023, were $0.00 and for the fiscal year ended September 30, 2022, were $0.00.</w:t>
      </w:r>
    </w:p>
    <w:p>
      <w:pPr>
        <w:spacing w:after="0" w:line="159" w:lineRule="exact"/>
        <w:rPr>
          <w:rFonts w:ascii="Times New Roman" w:cs="Times New Roman" w:eastAsia="Times New Roman" w:hAnsi="Times New Roman"/>
          <w:sz w:val="13"/>
          <w:szCs w:val="13"/>
          <w:color w:val="auto"/>
        </w:rPr>
      </w:pPr>
    </w:p>
    <w:p>
      <w:pPr>
        <w:ind w:left="520" w:right="40" w:hanging="515"/>
        <w:spacing w:after="0" w:line="247" w:lineRule="auto"/>
        <w:tabs>
          <w:tab w:leader="none" w:pos="27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 The aggregate fees billed for professional services rendered by E&amp;Y for tax compliance, tax advice, and tax planning in the form of preparation of excise filings and income tax returns for the fiscal year ended September 30, 2023, were $0.00 and for the fiscal year ended September 30, 2022, were $5,350.</w:t>
      </w:r>
    </w:p>
    <w:p>
      <w:pPr>
        <w:spacing w:after="0" w:line="159" w:lineRule="exact"/>
        <w:rPr>
          <w:rFonts w:ascii="Times New Roman" w:cs="Times New Roman" w:eastAsia="Times New Roman" w:hAnsi="Times New Roman"/>
          <w:sz w:val="13"/>
          <w:szCs w:val="13"/>
          <w:color w:val="auto"/>
        </w:rPr>
      </w:pPr>
    </w:p>
    <w:p>
      <w:pPr>
        <w:ind w:left="520" w:right="120" w:hanging="515"/>
        <w:spacing w:after="0" w:line="235" w:lineRule="auto"/>
        <w:tabs>
          <w:tab w:leader="none" w:pos="27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 The aggregate fees billed for products and services provided by E&amp;Y other than the services reported in paragraphs (a) through (c) of this Item for the fiscal year ended September 30, 2023, were $0.00 and for the fiscal year ended September 30, 2022, were $0.00.</w:t>
      </w:r>
    </w:p>
    <w:p>
      <w:pPr>
        <w:spacing w:after="0" w:line="333" w:lineRule="exact"/>
        <w:rPr>
          <w:sz w:val="20"/>
          <w:szCs w:val="20"/>
          <w:color w:val="auto"/>
        </w:rPr>
      </w:pPr>
    </w:p>
    <w:p>
      <w:pPr>
        <w:ind w:left="420" w:right="340" w:hanging="508"/>
        <w:spacing w:after="0" w:line="247" w:lineRule="auto"/>
        <w:tabs>
          <w:tab w:leader="none" w:pos="400" w:val="left"/>
        </w:tabs>
        <w:rPr>
          <w:sz w:val="20"/>
          <w:szCs w:val="20"/>
          <w:color w:val="auto"/>
        </w:rPr>
      </w:pPr>
      <w:r>
        <w:rPr>
          <w:rFonts w:ascii="Times New Roman" w:cs="Times New Roman" w:eastAsia="Times New Roman" w:hAnsi="Times New Roman"/>
          <w:sz w:val="13"/>
          <w:szCs w:val="13"/>
          <w:color w:val="auto"/>
        </w:rPr>
        <w:t>(e)(1)</w:t>
        <w:tab/>
        <w:t>Audit Committee Pre-Approval Policies and Procedures – The Charter of the Registrant’s Audit Committee requires that the Audit Committee pre-approve all audit and permissible non-audit services to be provided to the Registrant by the Registrant’s independent registered public accounting firm; provided, however, that the pre-</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07" w:right="41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2"/>
          <w:szCs w:val="12"/>
          <w:color w:val="auto"/>
        </w:rPr>
        <w:t>approval requirement with respect to non-auditing services to the Registrant may be waived consistent with the exceptions provided for in the Securities Exchange Act of 1934, as amended (the “Exchange Act”).</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color w:val="auto"/>
        </w:rPr>
        <w:t>(e)(2)</w:t>
      </w:r>
      <w:r>
        <w:rPr>
          <w:sz w:val="20"/>
          <w:szCs w:val="20"/>
          <w:color w:val="auto"/>
        </w:rPr>
        <w:tab/>
      </w:r>
      <w:r>
        <w:rPr>
          <w:rFonts w:ascii="Times New Roman" w:cs="Times New Roman" w:eastAsia="Times New Roman" w:hAnsi="Times New Roman"/>
          <w:sz w:val="12"/>
          <w:szCs w:val="12"/>
          <w:color w:val="auto"/>
        </w:rPr>
        <w:t>No services described in paragraphs (b) through (d) of this Item 4 were approved by the Registrant’s audit committee pursuant to paragraph (c)(7)(i)(C) of Rule 2-01 of Regulation S-X.</w:t>
      </w:r>
    </w:p>
    <w:p>
      <w:pPr>
        <w:spacing w:after="0" w:line="275"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principal accountant’s hours spent on auditing the registrant’s 2023 and 2022 financial statements were attributed to work performed by full-time permanent employees of the principal accountant.</w:t>
      </w:r>
    </w:p>
    <w:p>
      <w:pPr>
        <w:spacing w:after="0" w:line="73" w:lineRule="exact"/>
        <w:rPr>
          <w:rFonts w:ascii="Times New Roman" w:cs="Times New Roman" w:eastAsia="Times New Roman" w:hAnsi="Times New Roman"/>
          <w:sz w:val="13"/>
          <w:szCs w:val="13"/>
          <w:color w:val="auto"/>
        </w:rPr>
      </w:pPr>
    </w:p>
    <w:p>
      <w:pPr>
        <w:ind w:left="520" w:right="420" w:hanging="515"/>
        <w:spacing w:after="0" w:line="247" w:lineRule="auto"/>
        <w:tabs>
          <w:tab w:leader="none" w:pos="28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non-audit fees billed by E&amp;Y for services rendered to the Registrant, its co-investment advisers, and co-adviser affiliates that provide ongoing services to the Registrant for the fiscal year ended September 30, 2023, were $0 and for the fiscal year ended September 30, 2022, were $0.</w:t>
      </w:r>
    </w:p>
    <w:p>
      <w:pPr>
        <w:spacing w:after="0" w:line="159" w:lineRule="exact"/>
        <w:rPr>
          <w:rFonts w:ascii="Times New Roman" w:cs="Times New Roman" w:eastAsia="Times New Roman" w:hAnsi="Times New Roman"/>
          <w:sz w:val="13"/>
          <w:szCs w:val="13"/>
          <w:color w:val="auto"/>
        </w:rPr>
      </w:pPr>
    </w:p>
    <w:p>
      <w:pPr>
        <w:ind w:left="520" w:hanging="515"/>
        <w:spacing w:after="0" w:line="254" w:lineRule="auto"/>
        <w:tabs>
          <w:tab w:leader="none" w:pos="28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and Board have considered whether the provision of non-audit services to the Registrant's investment adviser (not including any sub-adviser whose role is primarily portfolio management and is subcontracted with or overseen by another investment adviser), and any entity controlling, controlled by, or under common control with the investment adviser that provides ongoing services to the Registrant, that were not pre-approved pursuant to paragraph (c)(7)(ii) of Rule 2-01 of Regulation S-X, is compatible with maintaining the principal accountant's independence. No such services were rendered.</w:t>
      </w:r>
    </w:p>
    <w:p>
      <w:pPr>
        <w:spacing w:after="0" w:line="251"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94"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5. Audit Committee of Listed Companies</w:t>
      </w:r>
    </w:p>
    <w:p>
      <w:pPr>
        <w:spacing w:after="0" w:line="86" w:lineRule="exact"/>
        <w:rPr>
          <w:sz w:val="20"/>
          <w:szCs w:val="20"/>
          <w:color w:val="auto"/>
        </w:rPr>
      </w:pPr>
    </w:p>
    <w:p>
      <w:pPr>
        <w:ind w:left="280" w:hanging="275"/>
        <w:spacing w:after="0"/>
        <w:tabs>
          <w:tab w:leader="none" w:pos="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94" w:lineRule="exact"/>
        <w:rPr>
          <w:rFonts w:ascii="Times New Roman" w:cs="Times New Roman" w:eastAsia="Times New Roman" w:hAnsi="Times New Roman"/>
          <w:sz w:val="13"/>
          <w:szCs w:val="13"/>
          <w:color w:val="auto"/>
        </w:rPr>
      </w:pPr>
    </w:p>
    <w:p>
      <w:pPr>
        <w:ind w:left="280" w:hanging="275"/>
        <w:spacing w:after="0"/>
        <w:tabs>
          <w:tab w:leader="none" w:pos="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6. Schedule of Investments</w:t>
      </w:r>
    </w:p>
    <w:p>
      <w:pPr>
        <w:spacing w:after="0" w:line="86" w:lineRule="exact"/>
        <w:rPr>
          <w:sz w:val="20"/>
          <w:szCs w:val="20"/>
          <w:color w:val="auto"/>
        </w:rPr>
      </w:pPr>
    </w:p>
    <w:p>
      <w:pPr>
        <w:ind w:left="520" w:right="6200" w:hanging="515"/>
        <w:spacing w:after="0" w:line="235" w:lineRule="auto"/>
        <w:tabs>
          <w:tab w:leader="none" w:pos="51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 of investments is included as part of the Reports to Shareholders filed under Item 1(a) of this report.</w:t>
      </w:r>
    </w:p>
    <w:p>
      <w:pPr>
        <w:spacing w:after="0" w:line="258" w:lineRule="exact"/>
        <w:rPr>
          <w:rFonts w:ascii="Times New Roman" w:cs="Times New Roman" w:eastAsia="Times New Roman" w:hAnsi="Times New Roman"/>
          <w:sz w:val="13"/>
          <w:szCs w:val="13"/>
          <w:color w:val="auto"/>
        </w:rPr>
      </w:pPr>
    </w:p>
    <w:p>
      <w:pPr>
        <w:ind w:left="520" w:hanging="515"/>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7. Disclosure of Proxy Voting Policies and Procedures for Closed-End Funds</w:t>
      </w:r>
    </w:p>
    <w:p>
      <w:pPr>
        <w:spacing w:after="0" w:line="7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3"/>
          <w:szCs w:val="13"/>
          <w:color w:val="auto"/>
        </w:rPr>
        <w:t>The Fund has delegated its proxy voting responsibility to the its investment adviser, Carlyle Global Credit Investment Management L.L.C. (the “Adviser”). The proxy voting policies and procedures of the Adviser are set forth below. The guidelines are reviewed periodically by the Adviser and the Independent Trustees and, accordingly, are subject to change.</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w:t>
      </w:r>
    </w:p>
    <w:p>
      <w:pPr>
        <w:spacing w:after="0"/>
        <w:rPr>
          <w:sz w:val="20"/>
          <w:szCs w:val="20"/>
          <w:color w:val="auto"/>
        </w:rPr>
      </w:pPr>
      <w:r>
        <w:rPr>
          <w:rFonts w:ascii="Times New Roman" w:cs="Times New Roman" w:eastAsia="Times New Roman" w:hAnsi="Times New Roman"/>
          <w:sz w:val="13"/>
          <w:szCs w:val="13"/>
          <w:color w:val="auto"/>
        </w:rPr>
        <w:t>such proxies are voted on a timely basis and to provide reporting and/or record retention services in connection with proxy voting for the Fun</w:t>
      </w:r>
      <w:r>
        <w:rPr>
          <w:rFonts w:ascii="Times New Roman" w:cs="Times New Roman" w:eastAsia="Times New Roman" w:hAnsi="Times New Roman"/>
          <w:sz w:val="15"/>
          <w:szCs w:val="15"/>
          <w:color w:val="auto"/>
        </w:rPr>
        <w:t>d</w:t>
      </w:r>
      <w:r>
        <w:rPr>
          <w:rFonts w:ascii="Times New Roman" w:cs="Times New Roman" w:eastAsia="Times New Roman" w:hAnsi="Times New Roman"/>
          <w:sz w:val="13"/>
          <w:szCs w:val="13"/>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right to vote a proxy with respect to portfolio securities held by the Fund is an asset of the Fund. The Adviser, to which</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3"/>
          <w:szCs w:val="13"/>
          <w:color w:val="auto"/>
        </w:rPr>
        <w:t>authority to vote on behalf of the Fund is delegated, acts as a fiduciary of the Fund and must vote proxies in a manner consistent with the best interest of the Fund and its shareholders. In discharging this fiduciary duty, the Adviser must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maintain and adhere to its policies and procedures for addressing conflicts of interest and must vote proxies in a manner substantially consistent with its policies, procedures and guidelines, as presented to the Board.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Fund shall file an annual report of each proxy voted with respect to portfolio securities of the Fund during the twelve-month period ended June 30 on Form N-PX not later than August 31 of each year.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Item 8. Portfolio Managers of Closed-End Management Investment Companies</w:t>
            </w:r>
          </w:p>
        </w:tc>
        <w:tc>
          <w:tcPr>
            <w:tcW w:w="6380" w:type="dxa"/>
            <w:vAlign w:val="bottom"/>
          </w:tcPr>
          <w:p>
            <w:pPr>
              <w:spacing w:after="0"/>
              <w:rPr>
                <w:sz w:val="12"/>
                <w:szCs w:val="12"/>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(a)(1)</w:t>
            </w:r>
          </w:p>
        </w:tc>
        <w:tc>
          <w:tcPr>
            <w:tcW w:w="224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276"/>
        </w:trPr>
        <w:tc>
          <w:tcPr>
            <w:tcW w:w="2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40" w:type="dxa"/>
            <w:vAlign w:val="bottom"/>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w w:val="97"/>
              </w:rPr>
              <w:t>Start Date</w:t>
            </w:r>
          </w:p>
        </w:tc>
        <w:tc>
          <w:tcPr>
            <w:tcW w:w="63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Bio</w:t>
            </w:r>
          </w:p>
        </w:tc>
      </w:tr>
      <w:tr>
        <w:trPr>
          <w:trHeight w:val="132"/>
        </w:trPr>
        <w:tc>
          <w:tcPr>
            <w:tcW w:w="206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Lauren Basmadjian</w:t>
            </w:r>
          </w:p>
        </w:tc>
        <w:tc>
          <w:tcPr>
            <w:tcW w:w="2240" w:type="dxa"/>
            <w:vAlign w:val="bottom"/>
          </w:tcPr>
          <w:p>
            <w:pPr>
              <w:jc w:val="center"/>
              <w:ind w:left="496"/>
              <w:spacing w:after="0" w:line="132" w:lineRule="exact"/>
              <w:rPr>
                <w:sz w:val="20"/>
                <w:szCs w:val="20"/>
                <w:color w:val="auto"/>
              </w:rPr>
            </w:pPr>
            <w:r>
              <w:rPr>
                <w:rFonts w:ascii="Times New Roman" w:cs="Times New Roman" w:eastAsia="Times New Roman" w:hAnsi="Times New Roman"/>
                <w:sz w:val="13"/>
                <w:szCs w:val="13"/>
                <w:color w:val="auto"/>
                <w:w w:val="96"/>
              </w:rPr>
              <w:t>July 14, 2023</w:t>
            </w:r>
          </w:p>
        </w:tc>
        <w:tc>
          <w:tcPr>
            <w:tcW w:w="638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auto"/>
                <w:w w:val="99"/>
              </w:rPr>
              <w:t>Lauren Basmadjian has over 20 years of experience in financial and corporate markets. She is a Managing Director,</w:t>
            </w:r>
          </w:p>
        </w:tc>
      </w:tr>
      <w:tr>
        <w:trPr>
          <w:trHeight w:val="127"/>
        </w:trPr>
        <w:tc>
          <w:tcPr>
            <w:tcW w:w="2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Portfolio Manager</w:t>
            </w: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rPr>
              <w:t>Co-Head</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8"/>
              </w:rPr>
              <w:t>of Liquid Credit and Head of US Loans &amp; Structured Credit within The Carlyle Group Inc.’s Global Credit platform,</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8"/>
              </w:rPr>
              <w:t>overseeing over $48 billion of AUM. She is based in New York and sits on the Investment Committees for all of The</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9"/>
              </w:rPr>
              <w:t>Carlyle Group Inc.’s U.S. Loan, CLO and Liquid and Illiquid Credit investing activities.Ms. Basmadjian joined The</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rPr>
              <w:t>Carlyle Group Inc. in 2020 after 19 years at Octagon Credit Investors, LLC, where she was a Senior Portfolio</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7"/>
              </w:rPr>
              <w:t>Manager, member of the Investment Committee and managed XAI Octagon Floating Rate &amp; Alternative Income Term</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9"/>
              </w:rPr>
              <w:t>Trust, a public 1940 Act fund invested in CLO tranches and leveraged loans. Prior to becoming a Portfolio Manager,</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9"/>
              </w:rPr>
              <w:t>Ms. Basmadjian managed Octagon’s workout efforts and also oversaw the leisure &amp; entertainment, retail, consumer</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rPr>
              <w:t>products, business services, food &amp; beverage and technology industries. Before joining Octagon, Ms. Basmadjian</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7"/>
              </w:rPr>
              <w:t>worked in the Acquisition Finance Group at Chase Securities, Inc. She graduated Cum Laude from the Stern School of</w:t>
            </w:r>
          </w:p>
        </w:tc>
      </w:tr>
      <w:tr>
        <w:trPr>
          <w:trHeight w:val="165"/>
        </w:trPr>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Business at New York University with a B.S. in Finance and Economics.</w:t>
            </w:r>
          </w:p>
        </w:tc>
      </w:tr>
      <w:tr>
        <w:trPr>
          <w:trHeight w:val="132"/>
        </w:trPr>
        <w:tc>
          <w:tcPr>
            <w:tcW w:w="206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Nishil Mehta</w:t>
            </w:r>
          </w:p>
        </w:tc>
        <w:tc>
          <w:tcPr>
            <w:tcW w:w="2240" w:type="dxa"/>
            <w:vAlign w:val="bottom"/>
          </w:tcPr>
          <w:p>
            <w:pPr>
              <w:jc w:val="center"/>
              <w:ind w:left="496"/>
              <w:spacing w:after="0" w:line="132" w:lineRule="exact"/>
              <w:rPr>
                <w:sz w:val="20"/>
                <w:szCs w:val="20"/>
                <w:color w:val="auto"/>
              </w:rPr>
            </w:pPr>
            <w:r>
              <w:rPr>
                <w:rFonts w:ascii="Times New Roman" w:cs="Times New Roman" w:eastAsia="Times New Roman" w:hAnsi="Times New Roman"/>
                <w:sz w:val="13"/>
                <w:szCs w:val="13"/>
                <w:color w:val="auto"/>
                <w:w w:val="96"/>
              </w:rPr>
              <w:t>July 14, 2023</w:t>
            </w:r>
          </w:p>
        </w:tc>
        <w:tc>
          <w:tcPr>
            <w:tcW w:w="638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auto"/>
                <w:w w:val="98"/>
              </w:rPr>
              <w:t>Nishil Mehta is a Managing Director leading the firm’s structured credit investments. He is based in New York. Prior</w:t>
            </w:r>
          </w:p>
        </w:tc>
      </w:tr>
      <w:tr>
        <w:trPr>
          <w:trHeight w:val="127"/>
        </w:trPr>
        <w:tc>
          <w:tcPr>
            <w:tcW w:w="2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Portfolio Manager</w:t>
            </w: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7"/>
              </w:rPr>
              <w:t>to joining Carlyle, Nishil was a Managing Director at First Eagle where he was the co-portfolio manager for the firm’s</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w w:val="99"/>
              </w:rPr>
              <w:t>structured credit investments. Prior to joining First Eagle, Nishil was a Managing Director at Prospect Capital where</w:t>
            </w:r>
          </w:p>
        </w:tc>
      </w:tr>
      <w:tr>
        <w:trPr>
          <w:trHeight w:val="127"/>
        </w:trPr>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38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auto"/>
              </w:rPr>
              <w:t>he was responsible for the firm’s $2.5 billion of investments in CLO mezzanine debt and CLO equity and served as</w:t>
            </w:r>
          </w:p>
        </w:tc>
      </w:tr>
      <w:tr>
        <w:trPr>
          <w:trHeight w:val="141"/>
        </w:trPr>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38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auto"/>
              </w:rPr>
              <w:t>portfolio manager to Priority Income Fund, Inc., a closed-ended management investment company that primarily</w:t>
            </w:r>
          </w:p>
        </w:tc>
      </w:tr>
    </w:tbl>
    <w:p>
      <w:pPr>
        <w:ind w:left="4640" w:right="660"/>
        <w:spacing w:after="0" w:line="214" w:lineRule="auto"/>
        <w:rPr>
          <w:sz w:val="20"/>
          <w:szCs w:val="20"/>
          <w:color w:val="auto"/>
        </w:rPr>
      </w:pPr>
      <w:r>
        <w:rPr>
          <w:rFonts w:ascii="Times New Roman" w:cs="Times New Roman" w:eastAsia="Times New Roman" w:hAnsi="Times New Roman"/>
          <w:sz w:val="13"/>
          <w:szCs w:val="13"/>
          <w:color w:val="auto"/>
        </w:rPr>
        <w:t>invests in the equity tranche of CLOs. He was also the Head of Capital Markets spearheading over $8 billion of debt and equity capital raised for the firm’s 1940 Act funds. Earlier in his career, Nishil worked at CIT Asset Management and Wachovia Securities. Mr. Mehta received his BBA from Goizueta Business School at Emory University with Honors.</w:t>
      </w:r>
    </w:p>
    <w:p>
      <w:pPr>
        <w:spacing w:after="0" w:line="333" w:lineRule="exact"/>
        <w:rPr>
          <w:sz w:val="20"/>
          <w:szCs w:val="20"/>
          <w:color w:val="auto"/>
        </w:rPr>
      </w:pPr>
    </w:p>
    <w:p>
      <w:pPr>
        <w:jc w:val="both"/>
        <w:ind w:left="500" w:hanging="508"/>
        <w:spacing w:after="0" w:line="291" w:lineRule="auto"/>
        <w:tabs>
          <w:tab w:leader="none" w:pos="480" w:val="left"/>
        </w:tabs>
        <w:rPr>
          <w:sz w:val="20"/>
          <w:szCs w:val="20"/>
          <w:color w:val="auto"/>
        </w:rPr>
      </w:pPr>
      <w:r>
        <w:rPr>
          <w:rFonts w:ascii="Times New Roman" w:cs="Times New Roman" w:eastAsia="Times New Roman" w:hAnsi="Times New Roman"/>
          <w:sz w:val="13"/>
          <w:szCs w:val="13"/>
          <w:color w:val="auto"/>
        </w:rPr>
        <w:t>(a)(2)</w:t>
      </w:r>
      <w:r>
        <w:rPr>
          <w:sz w:val="20"/>
          <w:szCs w:val="20"/>
          <w:color w:val="auto"/>
        </w:rPr>
        <w:tab/>
      </w:r>
      <w:r>
        <w:rPr>
          <w:rFonts w:ascii="Times New Roman" w:cs="Times New Roman" w:eastAsia="Times New Roman" w:hAnsi="Times New Roman"/>
          <w:sz w:val="12"/>
          <w:szCs w:val="12"/>
          <w:color w:val="auto"/>
        </w:rPr>
        <w:t>The portfolio managers primarily responsible for the day-to-day management of the Fund also manage other registered investment companies, other pooled investment vehicles and other accounts, as indicated below. The following table identifies, as of September 30, 2023: (i) the number of other registered investment companies, other pooled investment vehicles and other accounts managed by each portfolio manager; (ii) the total assets of such companies, vehicles and accounts; and (iii) the number and total assets of such companies, vehicles and accounts that are subject to an advisory fee based on performance.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billions)</w:t>
            </w:r>
          </w:p>
        </w:tc>
        <w:tc>
          <w:tcPr>
            <w:tcW w:w="286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Number of Accounts</w:t>
            </w: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6"/>
              </w:rPr>
              <w:t>Assets of Accounts</w:t>
            </w:r>
          </w:p>
        </w:tc>
        <w:tc>
          <w:tcPr>
            <w:tcW w:w="18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Accounts Subject</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 Subject to a</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auto"/>
            </w:tcBorders>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to a Performance Fee</w:t>
            </w:r>
          </w:p>
        </w:tc>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Fee</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Lauren Basmadjian</w:t>
            </w:r>
          </w:p>
        </w:tc>
        <w:tc>
          <w:tcPr>
            <w:tcW w:w="28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Registered Investment Companies</w:t>
            </w:r>
          </w:p>
        </w:tc>
        <w:tc>
          <w:tcPr>
            <w:tcW w:w="2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  $</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Pooled Investment Vehicles</w:t>
            </w:r>
          </w:p>
        </w:tc>
        <w:tc>
          <w:tcPr>
            <w:tcW w:w="28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71</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37.75</w:t>
            </w:r>
          </w:p>
        </w:tc>
        <w:tc>
          <w:tcPr>
            <w:tcW w:w="18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70</w:t>
            </w:r>
          </w:p>
        </w:tc>
        <w:tc>
          <w:tcPr>
            <w:tcW w:w="15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37.67</w:t>
            </w:r>
          </w:p>
        </w:tc>
        <w:tc>
          <w:tcPr>
            <w:tcW w:w="0" w:type="dxa"/>
            <w:vAlign w:val="bottom"/>
          </w:tcPr>
          <w:p>
            <w:pPr>
              <w:spacing w:after="0"/>
              <w:rPr>
                <w:sz w:val="1"/>
                <w:szCs w:val="1"/>
                <w:color w:val="auto"/>
              </w:rPr>
            </w:pPr>
          </w:p>
        </w:tc>
      </w:tr>
      <w:tr>
        <w:trPr>
          <w:trHeight w:val="168"/>
        </w:trPr>
        <w:tc>
          <w:tcPr>
            <w:tcW w:w="3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Accounts</w:t>
            </w:r>
          </w:p>
        </w:tc>
        <w:tc>
          <w:tcPr>
            <w:tcW w:w="28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1</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0.05</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Nishil Mehta</w:t>
            </w:r>
          </w:p>
        </w:tc>
        <w:tc>
          <w:tcPr>
            <w:tcW w:w="28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Registered Investment Companies</w:t>
            </w:r>
          </w:p>
        </w:tc>
        <w:tc>
          <w:tcPr>
            <w:tcW w:w="28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Pooled Investment Vehicles</w:t>
            </w:r>
          </w:p>
        </w:tc>
        <w:tc>
          <w:tcPr>
            <w:tcW w:w="28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0.08</w:t>
            </w:r>
          </w:p>
        </w:tc>
        <w:tc>
          <w:tcPr>
            <w:tcW w:w="18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Accounts</w:t>
            </w:r>
          </w:p>
        </w:tc>
        <w:tc>
          <w:tcPr>
            <w:tcW w:w="28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1</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0.05</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520" w:hanging="508"/>
        <w:spacing w:after="0" w:line="252" w:lineRule="auto"/>
        <w:tabs>
          <w:tab w:leader="none" w:pos="500" w:val="left"/>
        </w:tabs>
        <w:rPr>
          <w:sz w:val="20"/>
          <w:szCs w:val="20"/>
          <w:color w:val="auto"/>
        </w:rPr>
      </w:pPr>
      <w:r>
        <w:rPr>
          <w:rFonts w:ascii="Times New Roman" w:cs="Times New Roman" w:eastAsia="Times New Roman" w:hAnsi="Times New Roman"/>
          <w:sz w:val="13"/>
          <w:szCs w:val="13"/>
          <w:color w:val="auto"/>
        </w:rPr>
        <w:t>(a)(2)(iv)</w:t>
        <w:tab/>
        <w:t>The Fund’s executive officers and Trustees, and the employees of the Adviser, serve or may serve as officers, trustees or principals of entities that operate in the same or a related line of business as the Fund or of other Carlyle-advised funds (“Other Managed Funds”). As a result, they may have obligations to investors in those entities, the fulfillment of which might not be in the best interests of the Fund or its Shareholders. Moreover, notwithstanding the difference in principal investment objectives between the Fund and the Other Managed Funds, such other funds, including potential new pooled investment vehicles or managed accounts not yet established (whether managed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49" w:name="page50"/>
    <w:bookmarkEnd w:id="49"/>
    <w:p>
      <w:pPr>
        <w:jc w:val="both"/>
        <w:ind w:left="520"/>
        <w:spacing w:after="0" w:line="252" w:lineRule="auto"/>
        <w:rPr>
          <w:sz w:val="20"/>
          <w:szCs w:val="20"/>
          <w:color w:val="auto"/>
        </w:rPr>
      </w:pPr>
      <w:r>
        <w:rPr>
          <w:rFonts w:ascii="Times New Roman" w:cs="Times New Roman" w:eastAsia="Times New Roman" w:hAnsi="Times New Roman"/>
          <w:sz w:val="13"/>
          <w:szCs w:val="13"/>
          <w:color w:val="auto"/>
        </w:rPr>
        <w:t>sponsored by affiliates or the Adviser), have, and may from time to time have, overlapping investment objectives with the Fund and, accordingly, invest in, whether principally or secondarily, asset classes similar to those targeted by the Fund. To the extent the Other Managed Funds have overlapping investment objectives, the scope of opportunities otherwise available to the Fund may be adversely affected and/or reduced. Additionally, certain employees of the Adviser and their management may face conflicts in their time management and commitments as well as in the allocation of investment opportunities to Other Managed Funds.</w:t>
      </w:r>
    </w:p>
    <w:p>
      <w:pPr>
        <w:spacing w:after="0" w:line="179"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3"/>
          <w:szCs w:val="13"/>
          <w:color w:val="auto"/>
        </w:rPr>
        <w:t>The results of the Fund’s investment activities may differ significantly from the results achieved by the Other Managed Funds. It is possible that one or more of such funds will achieve investment results that are substantially more or less favorable than the results achieved by the Fund. Moreover, it is possible that the Fund will sustain losses during periods in which one or more affiliates achieve significant profits on their trading for proprietary or other accounts. The opposite result is also possible. The investment activities of one or more Adviser affiliates for their proprietary accounts and accounts under their management may also limit the investment opportunities for the Fund in certain markets.</w:t>
      </w:r>
    </w:p>
    <w:p>
      <w:pPr>
        <w:spacing w:after="0" w:line="168"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3"/>
          <w:szCs w:val="13"/>
          <w:color w:val="auto"/>
        </w:rPr>
        <w:t>The Adviser, its affiliates and their clients may pursue or enforce rights with respect to an issuer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w:t>
      </w:r>
    </w:p>
    <w:p>
      <w:pPr>
        <w:spacing w:after="0" w:line="163" w:lineRule="exact"/>
        <w:rPr>
          <w:sz w:val="20"/>
          <w:szCs w:val="20"/>
          <w:color w:val="auto"/>
        </w:rPr>
      </w:pPr>
    </w:p>
    <w:p>
      <w:pPr>
        <w:ind w:left="520" w:right="100"/>
        <w:spacing w:after="0" w:line="250" w:lineRule="auto"/>
        <w:rPr>
          <w:sz w:val="20"/>
          <w:szCs w:val="20"/>
          <w:color w:val="auto"/>
        </w:rPr>
      </w:pPr>
      <w:r>
        <w:rPr>
          <w:rFonts w:ascii="Times New Roman" w:cs="Times New Roman" w:eastAsia="Times New Roman" w:hAnsi="Times New Roman"/>
          <w:sz w:val="13"/>
          <w:szCs w:val="13"/>
          <w:color w:val="auto"/>
        </w:rPr>
        <w:t>The Adviser may enter into transactions and invest in securities, instruments and currencies on behalf of the Fund in which customers of its affiliates, to the extent permitted by applicable law, serve as the counterparty, principal or issuer. In such cases, such party’s interests in the transaction could be adverse to the interests of the Fund, and such party may have no incentive to assure that the Fund obtains the best possible prices or terms in connection with the transaction. In addition, the purchase, holding and sale of such investments by the Fund may enhance the profitability of the Adviser or its affiliates. One or more affiliates may also create, write or issue derivatives for their customers, the underlying securities, currencies or instruments of which may be those in which the Fund invests or which may be based on the performance of the Fund. The Fund may, subject to applicable law, purchase investments that are the subject of an underwriting or other distribution by one or more Adviser affiliates and may also enter into transactions with other clients of an affiliate where such other clients have interests adverse to those of the Fund.</w:t>
      </w:r>
    </w:p>
    <w:p>
      <w:pPr>
        <w:spacing w:after="0" w:line="180"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3"/>
          <w:szCs w:val="13"/>
          <w:color w:val="auto"/>
        </w:rPr>
        <w:t>The Fund will be required to establish business relationships with its counterparties based on the Fund’s own credit standing. Neither the Adviser nor any of its affiliates will have any obligation to allow its credit to be used in connection with the Fund’s establishment of its business relationships, nor is it expected that the Fund’s counterparties will rely on the credit of the Adviser or its affiliates in evaluating the Fund’s creditworthiness.</w:t>
      </w:r>
    </w:p>
    <w:p>
      <w:pPr>
        <w:spacing w:after="0" w:line="178" w:lineRule="exact"/>
        <w:rPr>
          <w:sz w:val="20"/>
          <w:szCs w:val="20"/>
          <w:color w:val="auto"/>
        </w:rPr>
      </w:pPr>
    </w:p>
    <w:p>
      <w:pPr>
        <w:ind w:left="520" w:right="120"/>
        <w:spacing w:after="0" w:line="264" w:lineRule="auto"/>
        <w:rPr>
          <w:sz w:val="20"/>
          <w:szCs w:val="20"/>
          <w:color w:val="auto"/>
        </w:rPr>
      </w:pPr>
      <w:r>
        <w:rPr>
          <w:rFonts w:ascii="Times New Roman" w:cs="Times New Roman" w:eastAsia="Times New Roman" w:hAnsi="Times New Roman"/>
          <w:sz w:val="13"/>
          <w:szCs w:val="13"/>
          <w:color w:val="auto"/>
        </w:rPr>
        <w:t>The Adviser is paid a fee based on a percentage of the Fund’s Net Assets. Certain of the Other Managed Funds pay the Adviser or its affiliates different performance-based compensation, which could create an incentive for the Adviser or affiliate to favor such investment fund or account over the Fund.</w:t>
      </w:r>
    </w:p>
    <w:p>
      <w:pPr>
        <w:spacing w:after="0" w:line="170" w:lineRule="exact"/>
        <w:rPr>
          <w:sz w:val="20"/>
          <w:szCs w:val="20"/>
          <w:color w:val="auto"/>
        </w:rPr>
      </w:pPr>
    </w:p>
    <w:p>
      <w:pPr>
        <w:ind w:left="520" w:right="140"/>
        <w:spacing w:after="0" w:line="264" w:lineRule="auto"/>
        <w:rPr>
          <w:sz w:val="20"/>
          <w:szCs w:val="20"/>
          <w:color w:val="auto"/>
        </w:rPr>
      </w:pPr>
      <w:r>
        <w:rPr>
          <w:rFonts w:ascii="Times New Roman" w:cs="Times New Roman" w:eastAsia="Times New Roman" w:hAnsi="Times New Roman"/>
          <w:sz w:val="13"/>
          <w:szCs w:val="13"/>
          <w:color w:val="auto"/>
        </w:rPr>
        <w:t>By reason of the various activities of the Adviser and its affiliates, the Adviser and such affiliates may acquire confidential or material non-public information or otherwise be restricted from purchasing certain potential Fund investments that otherwise might have been purchased or be restricted from selling certain Fund investments that might otherwise have been sold at the time.</w:t>
      </w:r>
    </w:p>
    <w:p>
      <w:pPr>
        <w:spacing w:after="0" w:line="159" w:lineRule="exact"/>
        <w:rPr>
          <w:sz w:val="20"/>
          <w:szCs w:val="20"/>
          <w:color w:val="auto"/>
        </w:rPr>
      </w:pPr>
    </w:p>
    <w:p>
      <w:pPr>
        <w:ind w:left="520" w:right="100"/>
        <w:spacing w:after="0" w:line="259" w:lineRule="auto"/>
        <w:rPr>
          <w:sz w:val="20"/>
          <w:szCs w:val="20"/>
          <w:color w:val="auto"/>
        </w:rPr>
      </w:pPr>
      <w:r>
        <w:rPr>
          <w:rFonts w:ascii="Times New Roman" w:cs="Times New Roman" w:eastAsia="Times New Roman" w:hAnsi="Times New Roman"/>
          <w:sz w:val="13"/>
          <w:szCs w:val="13"/>
          <w:color w:val="auto"/>
        </w:rPr>
        <w:t>The Adviser has adopted policies and procedures designed to prevent conflicts of interest from influencing proxy voting decisions made on behalf of advisory clients, including the Fund, and to help ensure that such decisions are made in accordance with its fiduciary obligations to clients. Nevertheless, notwithstanding such proxy voting policies and procedures, actual proxy voting decisions may have the effect of favoring the interests of other clients, provided that the Adviser believes such voting decisions to be in accordance with its fiduciary obligations.</w:t>
      </w:r>
    </w:p>
    <w:p>
      <w:pPr>
        <w:spacing w:after="0" w:line="174" w:lineRule="exact"/>
        <w:rPr>
          <w:sz w:val="20"/>
          <w:szCs w:val="20"/>
          <w:color w:val="auto"/>
        </w:rPr>
      </w:pPr>
    </w:p>
    <w:p>
      <w:pPr>
        <w:jc w:val="both"/>
        <w:ind w:left="500" w:hanging="508"/>
        <w:spacing w:after="0" w:line="249" w:lineRule="auto"/>
        <w:tabs>
          <w:tab w:leader="none" w:pos="480" w:val="left"/>
        </w:tabs>
        <w:rPr>
          <w:sz w:val="20"/>
          <w:szCs w:val="20"/>
          <w:color w:val="auto"/>
        </w:rPr>
      </w:pPr>
      <w:r>
        <w:rPr>
          <w:rFonts w:ascii="Times New Roman" w:cs="Times New Roman" w:eastAsia="Times New Roman" w:hAnsi="Times New Roman"/>
          <w:sz w:val="13"/>
          <w:szCs w:val="13"/>
          <w:color w:val="auto"/>
        </w:rPr>
        <w:t>(a)(3)</w:t>
      </w:r>
      <w:r>
        <w:rPr>
          <w:sz w:val="20"/>
          <w:szCs w:val="20"/>
          <w:color w:val="auto"/>
        </w:rPr>
        <w:tab/>
      </w:r>
      <w:r>
        <w:rPr>
          <w:rFonts w:ascii="Times New Roman" w:cs="Times New Roman" w:eastAsia="Times New Roman" w:hAnsi="Times New Roman"/>
          <w:sz w:val="13"/>
          <w:szCs w:val="13"/>
          <w:color w:val="auto"/>
        </w:rPr>
        <w:t>Portfolio managers are compensated with an annual salary and a discretionary year-end annual bonus, the amount of which is based on a multitude of quantitative and qualitative factors and are benchmarked against peers and local markets. Depending on seniority within the firm, portfolio managers also may be eligible to receive performance fees from private funds that they manage that vest over time. Performance fees can make up a significant portion of a portfolio manager’s overall compensation, and primarily are based on the investment performance of the private funds managed by the portfolio manager. This compensation structure aligns a portfolio manager’s and investors’ long-term interests and helps the Adviser retain talented investment personnel. Portfolio managers also may receive discretionary compensation through awards under the Adviser’s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0" w:name="page51"/>
    <w:bookmarkEnd w:id="50"/>
    <w:p>
      <w:pPr>
        <w:spacing w:after="0"/>
        <w:tabs>
          <w:tab w:leader="none" w:pos="480" w:val="left"/>
        </w:tabs>
        <w:rPr>
          <w:sz w:val="20"/>
          <w:szCs w:val="20"/>
          <w:color w:val="auto"/>
        </w:rPr>
      </w:pPr>
      <w:r>
        <w:rPr>
          <w:rFonts w:ascii="Times New Roman" w:cs="Times New Roman" w:eastAsia="Times New Roman" w:hAnsi="Times New Roman"/>
          <w:sz w:val="13"/>
          <w:szCs w:val="13"/>
          <w:color w:val="auto"/>
        </w:rPr>
        <w:t>(a)(4)</w:t>
      </w:r>
      <w:r>
        <w:rPr>
          <w:sz w:val="20"/>
          <w:szCs w:val="20"/>
          <w:color w:val="auto"/>
        </w:rPr>
        <w:tab/>
      </w:r>
      <w:r>
        <w:rPr>
          <w:rFonts w:ascii="Times New Roman" w:cs="Times New Roman" w:eastAsia="Times New Roman" w:hAnsi="Times New Roman"/>
          <w:sz w:val="13"/>
          <w:szCs w:val="13"/>
          <w:color w:val="auto"/>
        </w:rPr>
        <w:t>The following table shows the dollar range of equity securities in the Fund beneficially owned by each of the portfolio managers as of September 30, 2023.</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840" w:type="dxa"/>
            <w:vAlign w:val="bottom"/>
          </w:tcPr>
          <w:p>
            <w:pPr>
              <w:ind w:left="1820"/>
              <w:spacing w:after="0"/>
              <w:rPr>
                <w:sz w:val="20"/>
                <w:szCs w:val="20"/>
                <w:color w:val="auto"/>
              </w:rPr>
            </w:pPr>
            <w:r>
              <w:rPr>
                <w:rFonts w:ascii="Times New Roman" w:cs="Times New Roman" w:eastAsia="Times New Roman" w:hAnsi="Times New Roman"/>
                <w:sz w:val="13"/>
                <w:szCs w:val="13"/>
                <w:b w:val="1"/>
                <w:bCs w:val="1"/>
                <w:color w:val="auto"/>
              </w:rPr>
              <w:t>Aggregate Dollar Range of Equity Securities in the</w:t>
            </w:r>
          </w:p>
        </w:tc>
        <w:tc>
          <w:tcPr>
            <w:tcW w:w="0" w:type="dxa"/>
            <w:vAlign w:val="bottom"/>
          </w:tcPr>
          <w:p>
            <w:pPr>
              <w:spacing w:after="0"/>
              <w:rPr>
                <w:sz w:val="1"/>
                <w:szCs w:val="1"/>
                <w:color w:val="auto"/>
              </w:rPr>
            </w:pPr>
          </w:p>
        </w:tc>
      </w:tr>
      <w:tr>
        <w:trPr>
          <w:trHeight w:val="170"/>
        </w:trPr>
        <w:tc>
          <w:tcPr>
            <w:tcW w:w="2820" w:type="dxa"/>
            <w:vAlign w:val="bottom"/>
            <w:tcBorders>
              <w:bottom w:val="single" w:sz="8" w:color="auto"/>
            </w:tcBorders>
            <w:vMerge w:val="continue"/>
          </w:tcPr>
          <w:p>
            <w:pPr>
              <w:spacing w:after="0"/>
              <w:rPr>
                <w:sz w:val="14"/>
                <w:szCs w:val="14"/>
                <w:color w:val="auto"/>
              </w:rPr>
            </w:pPr>
          </w:p>
        </w:tc>
        <w:tc>
          <w:tcPr>
            <w:tcW w:w="4840" w:type="dxa"/>
            <w:vAlign w:val="bottom"/>
            <w:tcBorders>
              <w:bottom w:val="single" w:sz="8" w:color="auto"/>
            </w:tcBorders>
          </w:tcPr>
          <w:p>
            <w:pPr>
              <w:ind w:left="18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Fund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6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Lauren Basmadjian</w:t>
            </w:r>
          </w:p>
        </w:tc>
        <w:tc>
          <w:tcPr>
            <w:tcW w:w="4840" w:type="dxa"/>
            <w:vAlign w:val="bottom"/>
            <w:shd w:val="clear" w:color="auto" w:fill="CCEEFF"/>
          </w:tcPr>
          <w:p>
            <w:pPr>
              <w:ind w:left="3180"/>
              <w:spacing w:after="0"/>
              <w:rPr>
                <w:sz w:val="20"/>
                <w:szCs w:val="20"/>
                <w:color w:val="auto"/>
              </w:rPr>
            </w:pPr>
            <w:r>
              <w:rPr>
                <w:rFonts w:ascii="Times New Roman" w:cs="Times New Roman" w:eastAsia="Times New Roman" w:hAnsi="Times New Roman"/>
                <w:sz w:val="13"/>
                <w:szCs w:val="13"/>
                <w:color w:val="auto"/>
              </w:rPr>
              <w:t>None</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Nishil Mehta</w:t>
            </w:r>
          </w:p>
        </w:tc>
        <w:tc>
          <w:tcPr>
            <w:tcW w:w="4840" w:type="dxa"/>
            <w:vAlign w:val="bottom"/>
          </w:tcPr>
          <w:p>
            <w:pPr>
              <w:ind w:left="3180"/>
              <w:spacing w:after="0"/>
              <w:rPr>
                <w:sz w:val="20"/>
                <w:szCs w:val="20"/>
                <w:color w:val="auto"/>
              </w:rPr>
            </w:pPr>
            <w:r>
              <w:rPr>
                <w:rFonts w:ascii="Times New Roman" w:cs="Times New Roman" w:eastAsia="Times New Roman" w:hAnsi="Times New Roman"/>
                <w:sz w:val="13"/>
                <w:szCs w:val="13"/>
                <w:color w:val="auto"/>
              </w:rPr>
              <w:t>None</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(1) Dollar ranges are as follows: None, $1–$10,000, $10,001–$50,000, $50,001–$100,000, $100,001–$500,000, $500,001–$1,000,000 or Over $1,000,000.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9. Purchases of Equity Securities by Closed-End Management Investment Company and Affiliated Purchasers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July 18, 2023, the Purchaser, which could be deemed to be an “affiliated purchaser” of the Fund under § 240.10b-18(a)(3)</w:t>
      </w:r>
    </w:p>
    <w:p>
      <w:pPr>
        <w:spacing w:after="0" w:line="208" w:lineRule="auto"/>
        <w:rPr>
          <w:sz w:val="20"/>
          <w:szCs w:val="20"/>
          <w:color w:val="auto"/>
        </w:rPr>
      </w:pPr>
      <w:r>
        <w:rPr>
          <w:rFonts w:ascii="Times New Roman" w:cs="Times New Roman" w:eastAsia="Times New Roman" w:hAnsi="Times New Roman"/>
          <w:sz w:val="13"/>
          <w:szCs w:val="13"/>
          <w:color w:val="auto"/>
        </w:rPr>
        <w:t>because it could be deemed to be under common control with the Fund, commenced a tender to purchase up to $25,000,000</w:t>
      </w:r>
    </w:p>
    <w:p>
      <w:pPr>
        <w:jc w:val="both"/>
        <w:ind w:right="80"/>
        <w:spacing w:after="0" w:line="228" w:lineRule="auto"/>
        <w:rPr>
          <w:sz w:val="20"/>
          <w:szCs w:val="20"/>
          <w:color w:val="auto"/>
        </w:rPr>
      </w:pPr>
      <w:r>
        <w:rPr>
          <w:rFonts w:ascii="Times New Roman" w:cs="Times New Roman" w:eastAsia="Times New Roman" w:hAnsi="Times New Roman"/>
          <w:sz w:val="13"/>
          <w:szCs w:val="13"/>
          <w:color w:val="auto"/>
        </w:rPr>
        <w:t>of outstanding common shares of the Fund at the then-current net asset value per common share. The Tender Offer expired on August 28, 2023, and the Purchaser accepted for purchase 3,012,049 common shares at a purchase price of $8.30 per common share for an aggregate purchase price of $25,000,006.70, excluding fees and expenses relating to the Tender Offer. The Tender Offer was oversubscribed. Accordingly, there are no remaining shares to be purchased.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 Maximum Number</w:t>
            </w:r>
          </w:p>
        </w:tc>
        <w:tc>
          <w:tcPr>
            <w:tcW w:w="106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 Purchased as</w:t>
            </w:r>
          </w:p>
        </w:tc>
        <w:tc>
          <w:tcPr>
            <w:tcW w:w="1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(or Approximate Dollar Value)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1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 Purchased that</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11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Part of Publicly</w:t>
            </w:r>
          </w:p>
        </w:tc>
        <w:tc>
          <w:tcPr>
            <w:tcW w:w="16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of Shares that May Yet Be</w:t>
            </w:r>
          </w:p>
        </w:tc>
        <w:tc>
          <w:tcPr>
            <w:tcW w:w="1060" w:type="dxa"/>
            <w:vAlign w:val="bottom"/>
            <w:vMerge w:val="continue"/>
          </w:tcPr>
          <w:p>
            <w:pPr>
              <w:spacing w:after="0"/>
              <w:rPr>
                <w:sz w:val="9"/>
                <w:szCs w:val="9"/>
                <w:color w:val="auto"/>
              </w:rPr>
            </w:pPr>
          </w:p>
        </w:tc>
        <w:tc>
          <w:tcPr>
            <w:tcW w:w="290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are Intended to Qualify Pursuant to a Plan that is Intended</w:t>
            </w:r>
          </w:p>
        </w:tc>
        <w:tc>
          <w:tcPr>
            <w:tcW w:w="0" w:type="dxa"/>
            <w:vAlign w:val="bottom"/>
          </w:tcPr>
          <w:p>
            <w:pPr>
              <w:spacing w:after="0"/>
              <w:rPr>
                <w:sz w:val="1"/>
                <w:szCs w:val="1"/>
                <w:color w:val="auto"/>
              </w:rPr>
            </w:pPr>
          </w:p>
        </w:tc>
      </w:tr>
      <w:tr>
        <w:trPr>
          <w:trHeight w:val="117"/>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Execution Date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Class of Shares</w:t>
            </w:r>
          </w:p>
        </w:tc>
        <w:tc>
          <w:tcPr>
            <w:tcW w:w="10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Announced Plans or</w:t>
            </w:r>
          </w:p>
        </w:tc>
        <w:tc>
          <w:tcPr>
            <w:tcW w:w="1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Purchased Under the Publicly</w:t>
            </w:r>
          </w:p>
        </w:tc>
        <w:tc>
          <w:tcPr>
            <w:tcW w:w="10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1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for the Safe Harbor in</w:t>
            </w:r>
          </w:p>
        </w:tc>
        <w:tc>
          <w:tcPr>
            <w:tcW w:w="17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to Satisfy the Affirmative Defense</w:t>
            </w:r>
          </w:p>
        </w:tc>
        <w:tc>
          <w:tcPr>
            <w:tcW w:w="0" w:type="dxa"/>
            <w:vAlign w:val="bottom"/>
          </w:tcPr>
          <w:p>
            <w:pPr>
              <w:spacing w:after="0"/>
              <w:rPr>
                <w:sz w:val="1"/>
                <w:szCs w:val="1"/>
                <w:color w:val="auto"/>
              </w:rPr>
            </w:pPr>
          </w:p>
        </w:tc>
      </w:tr>
      <w:tr>
        <w:trPr>
          <w:trHeight w:val="155"/>
        </w:trPr>
        <w:tc>
          <w:tcPr>
            <w:tcW w:w="9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Announced Plans or Programs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the Open Market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Rule 10b-18</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Conditions of Rule 10b5-1(c)</w:t>
            </w:r>
          </w:p>
        </w:tc>
        <w:tc>
          <w:tcPr>
            <w:tcW w:w="0" w:type="dxa"/>
            <w:vAlign w:val="bottom"/>
          </w:tcPr>
          <w:p>
            <w:pPr>
              <w:spacing w:after="0"/>
              <w:rPr>
                <w:sz w:val="1"/>
                <w:szCs w:val="1"/>
                <w:color w:val="auto"/>
              </w:rPr>
            </w:pPr>
          </w:p>
        </w:tc>
      </w:tr>
      <w:tr>
        <w:trPr>
          <w:trHeight w:val="154"/>
        </w:trPr>
        <w:tc>
          <w:tcPr>
            <w:tcW w:w="9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8/28/2023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Common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3,012,049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$8.30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3,012,049</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10. Submission of Matters to a Vote of Security 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material changes to the procedures by which the Shareholders may recommend nominees to the Board during the period covered by the annual report included in Item 1(a) of this Form N-CSR.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11. Controls and Procedures</w:t>
      </w:r>
    </w:p>
    <w:p>
      <w:pPr>
        <w:spacing w:after="0" w:line="97" w:lineRule="exact"/>
        <w:rPr>
          <w:sz w:val="20"/>
          <w:szCs w:val="20"/>
          <w:color w:val="auto"/>
        </w:rPr>
      </w:pPr>
    </w:p>
    <w:p>
      <w:pPr>
        <w:ind w:left="520" w:hanging="515"/>
        <w:spacing w:after="0" w:line="223" w:lineRule="auto"/>
        <w:tabs>
          <w:tab w:leader="none" w:pos="51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Based on an evaluation of the Registrants disclosure controls and procedures as of a date within 90 days of filing date of this Form N-CSR, the principal executive officer and principal financial officer of the Registrant have concluded that the disclosure controls and procedures of the Registrant are reasonably designed to ensure that the information required in filings on Form N-CSR is recorded, processed, summarized, and reported by the filing date, including that information required to be disclosed is accumulated and communicated to the Registrants management, including the Registrants principal executive officer and principal financial officer, as appropriate to allow timely decisions regarding required disclosure.</w:t>
      </w:r>
    </w:p>
    <w:p>
      <w:pPr>
        <w:spacing w:after="0" w:line="176" w:lineRule="exact"/>
        <w:rPr>
          <w:rFonts w:ascii="Times New Roman" w:cs="Times New Roman" w:eastAsia="Times New Roman" w:hAnsi="Times New Roman"/>
          <w:sz w:val="16"/>
          <w:szCs w:val="16"/>
          <w:color w:val="auto"/>
        </w:rPr>
      </w:pPr>
    </w:p>
    <w:p>
      <w:pPr>
        <w:ind w:left="520" w:right="240" w:hanging="515"/>
        <w:spacing w:after="0" w:line="225" w:lineRule="auto"/>
        <w:tabs>
          <w:tab w:leader="none" w:pos="51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There were no significant changes in the Registrant’s internal control over financial reporting that occurred during the period covered by this report that have materially affected, or are reasonably likely to materially affect, the Registrant’s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12. Disclosure of Securities Lending Activities for Closed-End Management Investment Companies</w:t>
      </w:r>
    </w:p>
    <w:p>
      <w:pPr>
        <w:spacing w:after="0" w:line="86" w:lineRule="exact"/>
        <w:rPr>
          <w:sz w:val="20"/>
          <w:szCs w:val="20"/>
          <w:color w:val="auto"/>
        </w:rPr>
      </w:pPr>
    </w:p>
    <w:p>
      <w:pPr>
        <w:ind w:left="500" w:hanging="495"/>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94" w:lineRule="exact"/>
        <w:rPr>
          <w:rFonts w:ascii="Times New Roman" w:cs="Times New Roman" w:eastAsia="Times New Roman" w:hAnsi="Times New Roman"/>
          <w:sz w:val="13"/>
          <w:szCs w:val="13"/>
          <w:color w:val="auto"/>
        </w:rPr>
      </w:pPr>
    </w:p>
    <w:p>
      <w:pPr>
        <w:ind w:left="520" w:hanging="515"/>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Item 13. Exhibits</w:t>
      </w:r>
    </w:p>
    <w:p>
      <w:pPr>
        <w:spacing w:after="0" w:line="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(a)(1)</w:t>
      </w:r>
      <w:r>
        <w:rPr>
          <w:sz w:val="20"/>
          <w:szCs w:val="20"/>
          <w:color w:val="auto"/>
        </w:rPr>
        <w:tab/>
      </w:r>
      <w:r>
        <w:rPr>
          <w:rFonts w:ascii="Times New Roman" w:cs="Times New Roman" w:eastAsia="Times New Roman" w:hAnsi="Times New Roman"/>
          <w:sz w:val="14"/>
          <w:szCs w:val="14"/>
          <w:u w:val="single" w:color="auto"/>
          <w:color w:val="0000FF"/>
        </w:rPr>
        <w:t>Code of Ethics filed herewith.</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(a)(2)</w:t>
      </w:r>
      <w:r>
        <w:rPr>
          <w:sz w:val="20"/>
          <w:szCs w:val="20"/>
          <w:color w:val="auto"/>
        </w:rPr>
        <w:tab/>
      </w:r>
      <w:r>
        <w:rPr>
          <w:rFonts w:ascii="Times New Roman" w:cs="Times New Roman" w:eastAsia="Times New Roman" w:hAnsi="Times New Roman"/>
          <w:sz w:val="14"/>
          <w:szCs w:val="14"/>
          <w:u w:val="single" w:color="auto"/>
          <w:color w:val="0000FF"/>
        </w:rPr>
        <w:t>Certification(s) pursuant to Section 302 of the Sarbanes-Oxley Act of 2002 (and Item 11(a)(2) of Form N-CSR) are filed herewith.</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(a)(3)</w:t>
        <w:tab/>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34" w:right="479" w:bottom="1440" w:gutter="0" w:footer="0" w:header="0"/>
        </w:sectPr>
      </w:pPr>
    </w:p>
    <w:bookmarkStart w:id="51" w:name="page52"/>
    <w:bookmarkEnd w:id="51"/>
    <w:p>
      <w:pPr>
        <w:spacing w:after="0"/>
        <w:tabs>
          <w:tab w:leader="none" w:pos="440" w:val="left"/>
        </w:tabs>
        <w:rPr>
          <w:sz w:val="20"/>
          <w:szCs w:val="20"/>
          <w:color w:val="auto"/>
        </w:rPr>
      </w:pPr>
      <w:r>
        <w:rPr>
          <w:rFonts w:ascii="Times New Roman" w:cs="Times New Roman" w:eastAsia="Times New Roman" w:hAnsi="Times New Roman"/>
          <w:sz w:val="14"/>
          <w:szCs w:val="14"/>
          <w:color w:val="auto"/>
        </w:rPr>
        <w:t>(a)(4)</w:t>
      </w:r>
      <w:r>
        <w:rPr>
          <w:sz w:val="20"/>
          <w:szCs w:val="20"/>
          <w:color w:val="auto"/>
        </w:rPr>
        <w:tab/>
      </w:r>
      <w:r>
        <w:rPr>
          <w:rFonts w:ascii="Times New Roman" w:cs="Times New Roman" w:eastAsia="Times New Roman" w:hAnsi="Times New Roman"/>
          <w:sz w:val="14"/>
          <w:szCs w:val="14"/>
          <w:u w:val="single" w:color="auto"/>
          <w:color w:val="0000FF"/>
        </w:rPr>
        <w:t>Change in registrant’s independent public accountant filed herewith.</w:t>
      </w:r>
    </w:p>
    <w:p>
      <w:pPr>
        <w:spacing w:after="0" w:line="189" w:lineRule="exact"/>
        <w:rPr>
          <w:sz w:val="20"/>
          <w:szCs w:val="20"/>
          <w:color w:val="auto"/>
        </w:rPr>
      </w:pPr>
    </w:p>
    <w:p>
      <w:pPr>
        <w:ind w:left="340" w:hanging="335"/>
        <w:spacing w:after="0"/>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Certification(s) required by Section 906 of the Sarbanes-Oxley Act of 2002 (and Item 11(b) of Form N-CSR) are filed herewith.</w:t>
      </w:r>
    </w:p>
    <w:p>
      <w:pPr>
        <w:spacing w:after="0" w:line="189"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19" w:right="1440" w:bottom="1440" w:gutter="0" w:footer="0" w:header="0"/>
        </w:sectPr>
      </w:pPr>
    </w:p>
    <w:bookmarkStart w:id="52" w:name="page53"/>
    <w:bookmarkEnd w:id="5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4"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Carlyle Credit Income Fund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Lauren Basmadjian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Lauren Basmadjian</w:t>
      </w:r>
    </w:p>
    <w:p>
      <w:pPr>
        <w:spacing w:after="0" w:line="221" w:lineRule="auto"/>
        <w:rPr>
          <w:sz w:val="20"/>
          <w:szCs w:val="20"/>
          <w:color w:val="auto"/>
        </w:rPr>
      </w:pPr>
      <w:r>
        <w:rPr>
          <w:rFonts w:ascii="Times New Roman" w:cs="Times New Roman" w:eastAsia="Times New Roman" w:hAnsi="Times New Roman"/>
          <w:sz w:val="13"/>
          <w:szCs w:val="13"/>
          <w:color w:val="auto"/>
        </w:rPr>
        <w:t>Principal Executive Officer</w:t>
      </w:r>
    </w:p>
    <w:p>
      <w:pPr>
        <w:spacing w:after="0"/>
        <w:rPr>
          <w:sz w:val="20"/>
          <w:szCs w:val="20"/>
          <w:color w:val="auto"/>
        </w:rPr>
      </w:pPr>
      <w:r>
        <w:rPr>
          <w:rFonts w:ascii="Times New Roman" w:cs="Times New Roman" w:eastAsia="Times New Roman" w:hAnsi="Times New Roman"/>
          <w:sz w:val="13"/>
          <w:szCs w:val="13"/>
          <w:color w:val="auto"/>
        </w:rPr>
        <w:t>Date: November 29, 2023</w:t>
      </w:r>
    </w:p>
    <w:p>
      <w:pPr>
        <w:spacing w:after="0" w:line="1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and the Investment Company Act of 1940, this report has been signed below by the following persons on behalf of the registrant and in the capacities and on the date indicated.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Lauren Basmadjian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Lauren Basmadjian</w:t>
      </w:r>
    </w:p>
    <w:p>
      <w:pPr>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rPr>
          <w:sz w:val="20"/>
          <w:szCs w:val="20"/>
          <w:color w:val="auto"/>
        </w:rPr>
      </w:pPr>
      <w:r>
        <w:rPr>
          <w:rFonts w:ascii="Times New Roman" w:cs="Times New Roman" w:eastAsia="Times New Roman" w:hAnsi="Times New Roman"/>
          <w:sz w:val="13"/>
          <w:szCs w:val="13"/>
          <w:color w:val="auto"/>
        </w:rPr>
        <w:t>Date: November 29,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Nelson Joseph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Nelson Joseph</w:t>
      </w:r>
    </w:p>
    <w:p>
      <w:pPr>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rPr>
          <w:sz w:val="20"/>
          <w:szCs w:val="20"/>
          <w:color w:val="auto"/>
        </w:rPr>
      </w:pPr>
      <w:r>
        <w:rPr>
          <w:rFonts w:ascii="Times New Roman" w:cs="Times New Roman" w:eastAsia="Times New Roman" w:hAnsi="Times New Roman"/>
          <w:sz w:val="13"/>
          <w:szCs w:val="13"/>
          <w:color w:val="auto"/>
        </w:rPr>
        <w:t>Date: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429260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919" w:right="459" w:bottom="1440" w:gutter="0" w:footer="0" w:header="0"/>
        </w:sectPr>
      </w:pPr>
    </w:p>
    <w:bookmarkStart w:id="53" w:name="page54"/>
    <w:bookmarkEnd w:id="53"/>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84201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842010" cy="107950"/>
                    </a:xfrm>
                    <a:prstGeom prst="rect">
                      <a:avLst/>
                    </a:prstGeom>
                    <a:noFill/>
                  </pic:spPr>
                </pic:pic>
              </a:graphicData>
            </a:graphic>
          </wp:anchor>
        </w:drawing>
        <w:t>This report must be preceded or accompanied by a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Visit Us</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CarlyleCreditIncomeFund.com</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Call Us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866 277 8243</w:t>
      </w:r>
    </w:p>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The Fund’s transfer agent is Equiniti Trust Company, LLC</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6201 15th Ave., Brooklyn, NY 11219</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All rights reserved.</w:t>
      </w: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CCIFAR 11292023</w:t>
      </w:r>
    </w:p>
    <w:p>
      <w:pPr>
        <w:sectPr>
          <w:pgSz w:w="11900" w:h="16838" w:orient="portrait"/>
          <w:cols w:equalWidth="0" w:num="1">
            <w:col w:w="10159"/>
          </w:cols>
          <w:pgMar w:left="300" w:top="558" w:right="1440" w:bottom="1440"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13(a)(ii)</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SECTION 302 OF THE SARBANES-OXLEY ACT OF 2002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Lauren Basmadjian certify that:</w:t>
      </w:r>
    </w:p>
    <w:p>
      <w:pPr>
        <w:spacing w:after="0" w:line="94"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N-CSR of Carlyle Credit Income Fund;</w:t>
      </w:r>
    </w:p>
    <w:p>
      <w:pPr>
        <w:spacing w:after="0" w:line="93"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260" w:right="42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3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5"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second fiscal quarter of the period covered by this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260" w:right="400" w:hanging="255"/>
        <w:spacing w:after="0" w:line="287"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to the registrant’s auditors and the audit committee of the registrant’s board of trustees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Lauren Basmadjian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Lauren Basmadjian</w:t>
      </w:r>
    </w:p>
    <w:p>
      <w:pPr>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rPr>
          <w:sz w:val="20"/>
          <w:szCs w:val="20"/>
          <w:color w:val="auto"/>
        </w:rPr>
      </w:pPr>
      <w:r>
        <w:rPr>
          <w:rFonts w:ascii="Times New Roman" w:cs="Times New Roman" w:eastAsia="Times New Roman" w:hAnsi="Times New Roman"/>
          <w:sz w:val="13"/>
          <w:szCs w:val="13"/>
          <w:color w:val="auto"/>
        </w:rPr>
        <w:t>Date: November 29, 2023</w:t>
      </w:r>
    </w:p>
    <w:p>
      <w:pPr>
        <w:sectPr>
          <w:pgSz w:w="11900" w:h="16838" w:orient="portrait"/>
          <w:cols w:equalWidth="0" w:num="1">
            <w:col w:w="11280"/>
          </w:cols>
          <w:pgMar w:left="300" w:top="505"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13(a)(ii)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SECTION 302 OF THE SARBANES-OXLEY ACT OF 2002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Nelson Joseph certify that:</w:t>
      </w:r>
    </w:p>
    <w:p>
      <w:pPr>
        <w:spacing w:after="0" w:line="94"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N-CSR of Carlyle Credit Income Fund;</w:t>
      </w:r>
    </w:p>
    <w:p>
      <w:pPr>
        <w:spacing w:after="0" w:line="93"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260" w:right="42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3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second fiscal quarter of the period covered by this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260" w:right="400" w:hanging="255"/>
        <w:spacing w:after="0" w:line="287"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to the registrant’s auditors and the audit committee of the registrant’s board of trustees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Nelson Joseph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Nelson Joseph</w:t>
      </w:r>
    </w:p>
    <w:p>
      <w:pPr>
        <w:spacing w:after="0"/>
        <w:rPr>
          <w:sz w:val="20"/>
          <w:szCs w:val="20"/>
          <w:color w:val="auto"/>
        </w:rPr>
      </w:pPr>
      <w:r>
        <w:rPr>
          <w:rFonts w:ascii="Times New Roman" w:cs="Times New Roman" w:eastAsia="Times New Roman" w:hAnsi="Times New Roman"/>
          <w:sz w:val="13"/>
          <w:szCs w:val="13"/>
          <w:color w:val="auto"/>
        </w:rPr>
        <w:t>Principal Financial Officer</w:t>
      </w:r>
    </w:p>
    <w:p>
      <w:pPr>
        <w:spacing w:after="0"/>
        <w:rPr>
          <w:sz w:val="20"/>
          <w:szCs w:val="20"/>
          <w:color w:val="auto"/>
        </w:rPr>
      </w:pPr>
      <w:r>
        <w:rPr>
          <w:rFonts w:ascii="Times New Roman" w:cs="Times New Roman" w:eastAsia="Times New Roman" w:hAnsi="Times New Roman"/>
          <w:sz w:val="13"/>
          <w:szCs w:val="13"/>
          <w:color w:val="auto"/>
        </w:rPr>
        <w:t>Date: November 29, 2023</w:t>
      </w:r>
    </w:p>
    <w:p>
      <w:pPr>
        <w:sectPr>
          <w:pgSz w:w="11900" w:h="16838" w:orient="portrait"/>
          <w:cols w:equalWidth="0" w:num="1">
            <w:col w:w="11280"/>
          </w:cols>
          <w:pgMar w:left="300" w:top="505"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13(b)</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Lauren Basmadjian, Principal Executive Officer, and Nelson Joseph, Principal Financial Officer, of Carlyle Credit Income Fund (the “Registrant”), each certify to the best of his or her knowledge that:</w:t>
      </w:r>
    </w:p>
    <w:p>
      <w:pPr>
        <w:spacing w:after="0" w:line="39" w:lineRule="exact"/>
        <w:rPr>
          <w:sz w:val="20"/>
          <w:szCs w:val="20"/>
          <w:color w:val="auto"/>
        </w:rPr>
      </w:pPr>
    </w:p>
    <w:p>
      <w:pPr>
        <w:ind w:left="520" w:right="400" w:hanging="260"/>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periodic report on Form N-CSR for the period ended September 30, 2023 (the “Form N-CSR”) fully complies with the requirements of Section 15(d) of the Securities Exchange Act of 1934, as amended; and</w:t>
      </w:r>
    </w:p>
    <w:p>
      <w:pPr>
        <w:spacing w:after="0" w:line="39"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N-CSR fairly presents, in all material respects, the financial condition and results of operations of the Registrant. This certification is being furnished to the Commission solely pursuant to 18 U.S.C. § 1350 and is not being filed as part of the Form N-CSR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18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Carlyle Credit Income Fund</w:t>
            </w:r>
          </w:p>
        </w:tc>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Carlyle Credit Income Fund</w:t>
            </w:r>
          </w:p>
        </w:tc>
      </w:tr>
      <w:tr>
        <w:trPr>
          <w:trHeight w:val="39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Lauren Basmadjian</w:t>
            </w:r>
          </w:p>
        </w:tc>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/s/ Nelson Joseph</w:t>
            </w:r>
          </w:p>
        </w:tc>
      </w:tr>
      <w:tr>
        <w:trPr>
          <w:trHeight w:val="175"/>
        </w:trPr>
        <w:tc>
          <w:tcPr>
            <w:tcW w:w="5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Lauren Basmadjian</w:t>
            </w:r>
          </w:p>
        </w:tc>
        <w:tc>
          <w:tcPr>
            <w:tcW w:w="200" w:type="dxa"/>
            <w:vAlign w:val="bottom"/>
          </w:tcPr>
          <w:p>
            <w:pPr>
              <w:spacing w:after="0"/>
              <w:rPr>
                <w:sz w:val="15"/>
                <w:szCs w:val="15"/>
                <w:color w:val="auto"/>
              </w:rPr>
            </w:pPr>
          </w:p>
        </w:tc>
        <w:tc>
          <w:tcPr>
            <w:tcW w:w="5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Nelson Joseph</w:t>
            </w:r>
          </w:p>
        </w:tc>
      </w:tr>
      <w:tr>
        <w:trPr>
          <w:trHeight w:val="38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 November 29, 2023</w:t>
            </w:r>
          </w:p>
        </w:tc>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29, 2023</w:t>
            </w:r>
          </w:p>
        </w:tc>
      </w:tr>
    </w:tbl>
    <w:p>
      <w:pPr>
        <w:sectPr>
          <w:pgSz w:w="11900" w:h="16838" w:orient="portrait"/>
          <w:cols w:equalWidth="0" w:num="1">
            <w:col w:w="11280"/>
          </w:cols>
          <w:pgMar w:left="300" w:top="505"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13(a)(i)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Verdana" w:cs="Verdana" w:eastAsia="Verdana" w:hAnsi="Verdana"/>
          <w:sz w:val="20"/>
          <w:szCs w:val="20"/>
          <w:b w:val="1"/>
          <w:bCs w:val="1"/>
          <w:color w:val="00137E"/>
        </w:rPr>
        <w:t>CODE OF ETHICS FOR PRINCIPAL EXECUTIVE AND FINANCIAL OFFICERS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460" w:type="dxa"/>
            <w:vAlign w:val="bottom"/>
            <w:tcBorders>
              <w:top w:val="single" w:sz="8" w:color="00137E"/>
              <w:left w:val="single" w:sz="8" w:color="00137E"/>
              <w:bottom w:val="single" w:sz="8" w:color="DCDCDC"/>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Applicable to</w:t>
            </w:r>
          </w:p>
        </w:tc>
        <w:tc>
          <w:tcPr>
            <w:tcW w:w="8460" w:type="dxa"/>
            <w:vAlign w:val="bottom"/>
            <w:tcBorders>
              <w:top w:val="single" w:sz="8" w:color="00137E"/>
              <w:right w:val="single" w:sz="8" w:color="00137E"/>
            </w:tcBorders>
          </w:tcPr>
          <w:p>
            <w:pPr>
              <w:spacing w:after="0"/>
              <w:rPr>
                <w:sz w:val="20"/>
                <w:szCs w:val="20"/>
                <w:color w:val="auto"/>
              </w:rPr>
            </w:pPr>
            <w:r>
              <w:rPr>
                <w:rFonts w:ascii="Verdana" w:cs="Verdana" w:eastAsia="Verdana" w:hAnsi="Verdana"/>
                <w:sz w:val="14"/>
                <w:szCs w:val="14"/>
                <w:color w:val="auto"/>
              </w:rPr>
              <w:t>Carlyle Credit Income Fund (the “Fund”)</w:t>
            </w:r>
          </w:p>
        </w:tc>
      </w:tr>
      <w:tr>
        <w:trPr>
          <w:trHeight w:val="188"/>
        </w:trPr>
        <w:tc>
          <w:tcPr>
            <w:tcW w:w="2460" w:type="dxa"/>
            <w:vAlign w:val="bottom"/>
            <w:tcBorders>
              <w:top w:val="single" w:sz="8" w:color="00137E"/>
              <w:left w:val="single" w:sz="8" w:color="00137E"/>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Departments Impacted</w:t>
            </w:r>
          </w:p>
        </w:tc>
        <w:tc>
          <w:tcPr>
            <w:tcW w:w="8460" w:type="dxa"/>
            <w:vAlign w:val="bottom"/>
            <w:tcBorders>
              <w:top w:val="single" w:sz="8" w:color="00137E"/>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Legal &amp; Compliance</w:t>
            </w:r>
          </w:p>
        </w:tc>
      </w:tr>
      <w:tr>
        <w:trPr>
          <w:trHeight w:val="206"/>
        </w:trPr>
        <w:tc>
          <w:tcPr>
            <w:tcW w:w="2460" w:type="dxa"/>
            <w:vAlign w:val="bottom"/>
            <w:tcBorders>
              <w:left w:val="single" w:sz="8" w:color="00137E"/>
              <w:bottom w:val="single" w:sz="8" w:color="DCDCDC"/>
              <w:right w:val="single" w:sz="8" w:color="00137E"/>
            </w:tcBorders>
            <w:shd w:val="clear" w:color="auto" w:fill="DCDCDC"/>
          </w:tcPr>
          <w:p>
            <w:pPr>
              <w:spacing w:after="0"/>
              <w:rPr>
                <w:sz w:val="17"/>
                <w:szCs w:val="17"/>
                <w:color w:val="auto"/>
              </w:rPr>
            </w:pPr>
          </w:p>
        </w:tc>
        <w:tc>
          <w:tcPr>
            <w:tcW w:w="8460" w:type="dxa"/>
            <w:vAlign w:val="bottom"/>
            <w:tcBorders>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Fund Management</w:t>
            </w:r>
          </w:p>
        </w:tc>
      </w:tr>
      <w:tr>
        <w:trPr>
          <w:trHeight w:val="188"/>
        </w:trPr>
        <w:tc>
          <w:tcPr>
            <w:tcW w:w="2460" w:type="dxa"/>
            <w:vAlign w:val="bottom"/>
            <w:tcBorders>
              <w:top w:val="single" w:sz="8" w:color="00137E"/>
              <w:left w:val="single" w:sz="8" w:color="00137E"/>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Risk Addressed by Policy</w:t>
            </w:r>
          </w:p>
        </w:tc>
        <w:tc>
          <w:tcPr>
            <w:tcW w:w="8460" w:type="dxa"/>
            <w:vAlign w:val="bottom"/>
            <w:tcBorders>
              <w:top w:val="single" w:sz="8" w:color="00137E"/>
              <w:right w:val="single" w:sz="8" w:color="00137E"/>
            </w:tcBorders>
          </w:tcPr>
          <w:p>
            <w:pPr>
              <w:spacing w:after="0"/>
              <w:rPr>
                <w:sz w:val="20"/>
                <w:szCs w:val="20"/>
                <w:color w:val="auto"/>
              </w:rPr>
            </w:pPr>
            <w:r>
              <w:rPr>
                <w:rFonts w:ascii="Verdana" w:cs="Verdana" w:eastAsia="Verdana" w:hAnsi="Verdana"/>
                <w:sz w:val="14"/>
                <w:szCs w:val="14"/>
                <w:color w:val="auto"/>
              </w:rPr>
              <w:t>The Fund’s principal executives and senior financial officers do not comply with written standards that are reasonably</w:t>
            </w:r>
          </w:p>
        </w:tc>
      </w:tr>
      <w:tr>
        <w:trPr>
          <w:trHeight w:val="216"/>
        </w:trPr>
        <w:tc>
          <w:tcPr>
            <w:tcW w:w="2460" w:type="dxa"/>
            <w:vAlign w:val="bottom"/>
            <w:tcBorders>
              <w:left w:val="single" w:sz="8" w:color="00137E"/>
              <w:bottom w:val="single" w:sz="8" w:color="DCDCDC"/>
              <w:right w:val="single" w:sz="8" w:color="00137E"/>
            </w:tcBorders>
            <w:shd w:val="clear" w:color="auto" w:fill="DCDCDC"/>
          </w:tcPr>
          <w:p>
            <w:pPr>
              <w:spacing w:after="0"/>
              <w:rPr>
                <w:sz w:val="18"/>
                <w:szCs w:val="18"/>
                <w:color w:val="auto"/>
              </w:rPr>
            </w:pPr>
          </w:p>
        </w:tc>
        <w:tc>
          <w:tcPr>
            <w:tcW w:w="8460" w:type="dxa"/>
            <w:vAlign w:val="bottom"/>
            <w:tcBorders>
              <w:right w:val="single" w:sz="8" w:color="00137E"/>
            </w:tcBorders>
          </w:tcPr>
          <w:p>
            <w:pPr>
              <w:spacing w:after="0"/>
              <w:rPr>
                <w:sz w:val="20"/>
                <w:szCs w:val="20"/>
                <w:color w:val="auto"/>
              </w:rPr>
            </w:pPr>
            <w:r>
              <w:rPr>
                <w:rFonts w:ascii="Verdana" w:cs="Verdana" w:eastAsia="Verdana" w:hAnsi="Verdana"/>
                <w:sz w:val="14"/>
                <w:szCs w:val="14"/>
                <w:color w:val="auto"/>
              </w:rPr>
              <w:t>designed to deter wrongdoing and promote, among other things, honest and ethical conduct.</w:t>
            </w:r>
          </w:p>
        </w:tc>
      </w:tr>
      <w:tr>
        <w:trPr>
          <w:trHeight w:val="188"/>
        </w:trPr>
        <w:tc>
          <w:tcPr>
            <w:tcW w:w="2460" w:type="dxa"/>
            <w:vAlign w:val="bottom"/>
            <w:tcBorders>
              <w:top w:val="single" w:sz="8" w:color="00137E"/>
              <w:left w:val="single" w:sz="8" w:color="00137E"/>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Relevant Law &amp; Related</w:t>
            </w:r>
          </w:p>
        </w:tc>
        <w:tc>
          <w:tcPr>
            <w:tcW w:w="8460" w:type="dxa"/>
            <w:vAlign w:val="bottom"/>
            <w:tcBorders>
              <w:top w:val="single" w:sz="8" w:color="00137E"/>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Section 406 of the Sarbanes-Oxley Act of 2002 (“SOX”)</w:t>
            </w:r>
          </w:p>
        </w:tc>
      </w:tr>
      <w:tr>
        <w:trPr>
          <w:trHeight w:val="180"/>
        </w:trPr>
        <w:tc>
          <w:tcPr>
            <w:tcW w:w="2460" w:type="dxa"/>
            <w:vAlign w:val="bottom"/>
            <w:tcBorders>
              <w:left w:val="single" w:sz="8" w:color="00137E"/>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Resources</w:t>
            </w:r>
          </w:p>
        </w:tc>
        <w:tc>
          <w:tcPr>
            <w:tcW w:w="8460" w:type="dxa"/>
            <w:vAlign w:val="bottom"/>
            <w:tcBorders>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Rule 30b2-1 under the Investment Company Act</w:t>
            </w:r>
          </w:p>
        </w:tc>
      </w:tr>
      <w:tr>
        <w:trPr>
          <w:trHeight w:val="180"/>
        </w:trPr>
        <w:tc>
          <w:tcPr>
            <w:tcW w:w="2460" w:type="dxa"/>
            <w:vAlign w:val="bottom"/>
            <w:tcBorders>
              <w:left w:val="single" w:sz="8" w:color="00137E"/>
              <w:right w:val="single" w:sz="8" w:color="00137E"/>
            </w:tcBorders>
            <w:shd w:val="clear" w:color="auto" w:fill="DCDCDC"/>
          </w:tcPr>
          <w:p>
            <w:pPr>
              <w:spacing w:after="0"/>
              <w:rPr>
                <w:sz w:val="15"/>
                <w:szCs w:val="15"/>
                <w:color w:val="auto"/>
              </w:rPr>
            </w:pPr>
          </w:p>
        </w:tc>
        <w:tc>
          <w:tcPr>
            <w:tcW w:w="8460" w:type="dxa"/>
            <w:vAlign w:val="bottom"/>
            <w:tcBorders>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Form N-CSR, Item 2 - Code of Ethics</w:t>
            </w:r>
          </w:p>
        </w:tc>
      </w:tr>
      <w:tr>
        <w:trPr>
          <w:trHeight w:val="180"/>
        </w:trPr>
        <w:tc>
          <w:tcPr>
            <w:tcW w:w="2460" w:type="dxa"/>
            <w:vAlign w:val="bottom"/>
            <w:tcBorders>
              <w:left w:val="single" w:sz="8" w:color="00137E"/>
              <w:right w:val="single" w:sz="8" w:color="00137E"/>
            </w:tcBorders>
            <w:shd w:val="clear" w:color="auto" w:fill="DCDCDC"/>
          </w:tcPr>
          <w:p>
            <w:pPr>
              <w:spacing w:after="0"/>
              <w:rPr>
                <w:sz w:val="15"/>
                <w:szCs w:val="15"/>
                <w:color w:val="auto"/>
              </w:rPr>
            </w:pPr>
          </w:p>
        </w:tc>
        <w:tc>
          <w:tcPr>
            <w:tcW w:w="8460" w:type="dxa"/>
            <w:vAlign w:val="bottom"/>
            <w:tcBorders>
              <w:right w:val="single" w:sz="8" w:color="00137E"/>
            </w:tcBorders>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Verdana" w:cs="Verdana" w:eastAsia="Verdana" w:hAnsi="Verdana"/>
                <w:sz w:val="14"/>
                <w:szCs w:val="14"/>
                <w:color w:val="auto"/>
              </w:rPr>
              <w:t>FINRA Release No. 34-47262; IC-25914 (January 27, 2003)</w:t>
            </w:r>
            <w:r>
              <w:rPr>
                <w:rFonts w:ascii="Times New Roman" w:cs="Times New Roman" w:eastAsia="Times New Roman" w:hAnsi="Times New Roman"/>
                <w:sz w:val="14"/>
                <w:szCs w:val="14"/>
                <w:color w:val="auto"/>
              </w:rPr>
              <w:t xml:space="preserve"> </w:t>
            </w:r>
            <w:r>
              <w:rPr>
                <w:rFonts w:ascii="Verdana" w:cs="Verdana" w:eastAsia="Verdana" w:hAnsi="Verdana"/>
                <w:sz w:val="14"/>
                <w:szCs w:val="14"/>
                <w:i w:val="1"/>
                <w:iCs w:val="1"/>
                <w:color w:val="auto"/>
              </w:rPr>
              <w:t>Certification of Management Investment Company</w:t>
            </w:r>
          </w:p>
        </w:tc>
      </w:tr>
      <w:tr>
        <w:trPr>
          <w:trHeight w:val="170"/>
        </w:trPr>
        <w:tc>
          <w:tcPr>
            <w:tcW w:w="2460" w:type="dxa"/>
            <w:vAlign w:val="bottom"/>
            <w:tcBorders>
              <w:left w:val="single" w:sz="8" w:color="00137E"/>
              <w:right w:val="single" w:sz="8" w:color="00137E"/>
            </w:tcBorders>
            <w:shd w:val="clear" w:color="auto" w:fill="DCDCDC"/>
          </w:tcPr>
          <w:p>
            <w:pPr>
              <w:spacing w:after="0"/>
              <w:rPr>
                <w:sz w:val="14"/>
                <w:szCs w:val="14"/>
                <w:color w:val="auto"/>
              </w:rPr>
            </w:pPr>
          </w:p>
        </w:tc>
        <w:tc>
          <w:tcPr>
            <w:tcW w:w="8460" w:type="dxa"/>
            <w:vAlign w:val="bottom"/>
            <w:tcBorders>
              <w:right w:val="single" w:sz="8" w:color="00137E"/>
            </w:tcBorders>
          </w:tcPr>
          <w:p>
            <w:pPr>
              <w:ind w:left="120"/>
              <w:spacing w:after="0"/>
              <w:rPr>
                <w:sz w:val="20"/>
                <w:szCs w:val="20"/>
                <w:color w:val="auto"/>
              </w:rPr>
            </w:pPr>
            <w:r>
              <w:rPr>
                <w:rFonts w:ascii="Verdana" w:cs="Verdana" w:eastAsia="Verdana" w:hAnsi="Verdana"/>
                <w:sz w:val="14"/>
                <w:szCs w:val="14"/>
                <w:i w:val="1"/>
                <w:iCs w:val="1"/>
                <w:color w:val="auto"/>
              </w:rPr>
              <w:t>Shareholder Reports and Designation of Certified Shareholder Reports as Exchange Act Periodic Reporting Forms;</w:t>
            </w:r>
          </w:p>
        </w:tc>
      </w:tr>
      <w:tr>
        <w:trPr>
          <w:trHeight w:val="190"/>
        </w:trPr>
        <w:tc>
          <w:tcPr>
            <w:tcW w:w="2460" w:type="dxa"/>
            <w:vAlign w:val="bottom"/>
            <w:tcBorders>
              <w:left w:val="single" w:sz="8" w:color="00137E"/>
              <w:bottom w:val="single" w:sz="8" w:color="00137E"/>
              <w:right w:val="single" w:sz="8" w:color="00137E"/>
            </w:tcBorders>
            <w:shd w:val="clear" w:color="auto" w:fill="DCDCDC"/>
          </w:tcPr>
          <w:p>
            <w:pPr>
              <w:spacing w:after="0"/>
              <w:rPr>
                <w:sz w:val="16"/>
                <w:szCs w:val="16"/>
                <w:color w:val="auto"/>
              </w:rPr>
            </w:pPr>
          </w:p>
        </w:tc>
        <w:tc>
          <w:tcPr>
            <w:tcW w:w="8460" w:type="dxa"/>
            <w:vAlign w:val="bottom"/>
            <w:tcBorders>
              <w:bottom w:val="single" w:sz="8" w:color="00137E"/>
              <w:right w:val="single" w:sz="8" w:color="00137E"/>
            </w:tcBorders>
          </w:tcPr>
          <w:p>
            <w:pPr>
              <w:ind w:left="120"/>
              <w:spacing w:after="0"/>
              <w:rPr>
                <w:sz w:val="20"/>
                <w:szCs w:val="20"/>
                <w:color w:val="auto"/>
              </w:rPr>
            </w:pPr>
            <w:r>
              <w:rPr>
                <w:rFonts w:ascii="Verdana" w:cs="Verdana" w:eastAsia="Verdana" w:hAnsi="Verdana"/>
                <w:sz w:val="14"/>
                <w:szCs w:val="14"/>
                <w:i w:val="1"/>
                <w:iCs w:val="1"/>
                <w:color w:val="auto"/>
              </w:rPr>
              <w:t>Disclosure Required by Sections 406 and 407 of the Sarbanes-Oxley Act of 2002</w:t>
            </w:r>
          </w:p>
        </w:tc>
      </w:tr>
      <w:tr>
        <w:trPr>
          <w:trHeight w:val="230"/>
        </w:trPr>
        <w:tc>
          <w:tcPr>
            <w:tcW w:w="2460" w:type="dxa"/>
            <w:vAlign w:val="bottom"/>
            <w:tcBorders>
              <w:left w:val="single" w:sz="8" w:color="00137E"/>
              <w:bottom w:val="single" w:sz="8" w:color="DCDCDC"/>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Approved By</w:t>
            </w:r>
          </w:p>
        </w:tc>
        <w:tc>
          <w:tcPr>
            <w:tcW w:w="8460" w:type="dxa"/>
            <w:vAlign w:val="bottom"/>
            <w:tcBorders>
              <w:right w:val="single" w:sz="8" w:color="00137E"/>
            </w:tcBorders>
          </w:tcPr>
          <w:p>
            <w:pPr>
              <w:spacing w:after="0"/>
              <w:rPr>
                <w:sz w:val="20"/>
                <w:szCs w:val="20"/>
                <w:color w:val="auto"/>
              </w:rPr>
            </w:pPr>
            <w:r>
              <w:rPr>
                <w:rFonts w:ascii="Verdana" w:cs="Verdana" w:eastAsia="Verdana" w:hAnsi="Verdana"/>
                <w:sz w:val="14"/>
                <w:szCs w:val="14"/>
                <w:color w:val="auto"/>
              </w:rPr>
              <w:t>Board: July 2023</w:t>
            </w:r>
          </w:p>
        </w:tc>
      </w:tr>
      <w:tr>
        <w:trPr>
          <w:trHeight w:val="204"/>
        </w:trPr>
        <w:tc>
          <w:tcPr>
            <w:tcW w:w="2460" w:type="dxa"/>
            <w:vAlign w:val="bottom"/>
            <w:tcBorders>
              <w:top w:val="single" w:sz="8" w:color="00137E"/>
              <w:left w:val="single" w:sz="8" w:color="00137E"/>
              <w:bottom w:val="single" w:sz="8" w:color="DCDCDC"/>
              <w:right w:val="single" w:sz="8" w:color="00137E"/>
            </w:tcBorders>
            <w:shd w:val="clear" w:color="auto" w:fill="DCDCDC"/>
          </w:tcPr>
          <w:p>
            <w:pPr>
              <w:ind w:left="20"/>
              <w:spacing w:after="0"/>
              <w:rPr>
                <w:sz w:val="20"/>
                <w:szCs w:val="20"/>
                <w:color w:val="auto"/>
              </w:rPr>
            </w:pPr>
            <w:r>
              <w:rPr>
                <w:rFonts w:ascii="Verdana" w:cs="Verdana" w:eastAsia="Verdana" w:hAnsi="Verdana"/>
                <w:sz w:val="14"/>
                <w:szCs w:val="14"/>
                <w:b w:val="1"/>
                <w:bCs w:val="1"/>
                <w:color w:val="auto"/>
              </w:rPr>
              <w:t>Effective Date</w:t>
            </w:r>
          </w:p>
        </w:tc>
        <w:tc>
          <w:tcPr>
            <w:tcW w:w="8460" w:type="dxa"/>
            <w:vAlign w:val="bottom"/>
            <w:tcBorders>
              <w:top w:val="single" w:sz="8" w:color="00137E"/>
              <w:right w:val="single" w:sz="8" w:color="00137E"/>
            </w:tcBorders>
          </w:tcPr>
          <w:p>
            <w:pPr>
              <w:spacing w:after="0"/>
              <w:rPr>
                <w:sz w:val="20"/>
                <w:szCs w:val="20"/>
                <w:color w:val="auto"/>
              </w:rPr>
            </w:pPr>
            <w:r>
              <w:rPr>
                <w:rFonts w:ascii="Verdana" w:cs="Verdana" w:eastAsia="Verdana" w:hAnsi="Verdana"/>
                <w:sz w:val="14"/>
                <w:szCs w:val="14"/>
                <w:color w:val="auto"/>
              </w:rPr>
              <w:t>July 2023</w:t>
            </w:r>
          </w:p>
        </w:tc>
      </w:tr>
      <w:tr>
        <w:trPr>
          <w:trHeight w:val="20"/>
        </w:trPr>
        <w:tc>
          <w:tcPr>
            <w:tcW w:w="2460" w:type="dxa"/>
            <w:vAlign w:val="bottom"/>
            <w:tcBorders>
              <w:left w:val="single" w:sz="8" w:color="00137E"/>
              <w:right w:val="single" w:sz="8" w:color="00137E"/>
            </w:tcBorders>
            <w:shd w:val="clear" w:color="auto" w:fill="00137E"/>
          </w:tcPr>
          <w:p>
            <w:pPr>
              <w:spacing w:after="0" w:line="20" w:lineRule="exact"/>
              <w:rPr>
                <w:sz w:val="1"/>
                <w:szCs w:val="1"/>
                <w:color w:val="auto"/>
              </w:rPr>
            </w:pPr>
          </w:p>
        </w:tc>
        <w:tc>
          <w:tcPr>
            <w:tcW w:w="8460" w:type="dxa"/>
            <w:vAlign w:val="bottom"/>
            <w:tcBorders>
              <w:right w:val="single" w:sz="8" w:color="00137E"/>
            </w:tcBorders>
            <w:shd w:val="clear" w:color="auto" w:fill="00137E"/>
          </w:tcPr>
          <w:p>
            <w:pPr>
              <w:spacing w:after="0" w:line="20" w:lineRule="exact"/>
              <w:rPr>
                <w:sz w:val="1"/>
                <w:szCs w:val="1"/>
                <w:color w:val="auto"/>
              </w:rPr>
            </w:pPr>
          </w:p>
        </w:tc>
      </w:tr>
    </w:tbl>
    <w:p>
      <w:pPr>
        <w:spacing w:after="0" w:line="339" w:lineRule="exact"/>
        <w:rPr>
          <w:sz w:val="20"/>
          <w:szCs w:val="20"/>
          <w:color w:val="auto"/>
        </w:rPr>
      </w:pPr>
    </w:p>
    <w:p>
      <w:pPr>
        <w:spacing w:after="0" w:line="262" w:lineRule="auto"/>
        <w:rPr>
          <w:sz w:val="20"/>
          <w:szCs w:val="20"/>
          <w:color w:val="auto"/>
        </w:rPr>
      </w:pPr>
      <w:r>
        <w:rPr>
          <w:rFonts w:ascii="Verdana" w:cs="Verdana" w:eastAsia="Verdana" w:hAnsi="Verdana"/>
          <w:sz w:val="17"/>
          <w:szCs w:val="17"/>
          <w:b w:val="1"/>
          <w:bCs w:val="1"/>
          <w:u w:val="single" w:color="auto"/>
          <w:color w:val="00137E"/>
        </w:rPr>
        <w:t>Background.</w:t>
      </w:r>
      <w:r>
        <w:rPr>
          <w:rFonts w:ascii="Verdana" w:cs="Verdana" w:eastAsia="Verdana" w:hAnsi="Verdana"/>
          <w:sz w:val="17"/>
          <w:szCs w:val="17"/>
          <w:b w:val="1"/>
          <w:bCs w:val="1"/>
          <w:color w:val="00137E"/>
        </w:rPr>
        <w:t xml:space="preserve"> </w:t>
      </w:r>
      <w:r>
        <w:rPr>
          <w:rFonts w:ascii="Verdana" w:cs="Verdana" w:eastAsia="Verdana" w:hAnsi="Verdana"/>
          <w:sz w:val="17"/>
          <w:szCs w:val="17"/>
          <w:color w:val="000000"/>
        </w:rPr>
        <w:t>As a means of implementing Section 406 of SOX (“Section 406”), the SEC has adopted certain rules that require a</w:t>
      </w:r>
      <w:r>
        <w:rPr>
          <w:rFonts w:ascii="Verdana" w:cs="Verdana" w:eastAsia="Verdana" w:hAnsi="Verdana"/>
          <w:sz w:val="17"/>
          <w:szCs w:val="17"/>
          <w:b w:val="1"/>
          <w:bCs w:val="1"/>
          <w:color w:val="00137E"/>
        </w:rPr>
        <w:t xml:space="preserve"> </w:t>
      </w:r>
      <w:r>
        <w:rPr>
          <w:rFonts w:ascii="Verdana" w:cs="Verdana" w:eastAsia="Verdana" w:hAnsi="Verdana"/>
          <w:sz w:val="17"/>
          <w:szCs w:val="17"/>
          <w:color w:val="000000"/>
        </w:rPr>
        <w:t>mutual fund to disclose:</w:t>
      </w:r>
    </w:p>
    <w:p>
      <w:pPr>
        <w:spacing w:after="0" w:line="154" w:lineRule="exact"/>
        <w:rPr>
          <w:sz w:val="20"/>
          <w:szCs w:val="20"/>
          <w:color w:val="auto"/>
        </w:rPr>
      </w:pPr>
    </w:p>
    <w:p>
      <w:pPr>
        <w:jc w:val="both"/>
        <w:ind w:left="520" w:hanging="260"/>
        <w:spacing w:after="0" w:line="237" w:lineRule="auto"/>
        <w:tabs>
          <w:tab w:leader="none" w:pos="516" w:val="left"/>
        </w:tabs>
        <w:numPr>
          <w:ilvl w:val="0"/>
          <w:numId w:val="31"/>
        </w:numPr>
        <w:rPr>
          <w:rFonts w:ascii="Times New Roman" w:cs="Times New Roman" w:eastAsia="Times New Roman" w:hAnsi="Times New Roman"/>
          <w:sz w:val="17"/>
          <w:szCs w:val="17"/>
          <w:color w:val="auto"/>
        </w:rPr>
      </w:pPr>
      <w:r>
        <w:rPr>
          <w:rFonts w:ascii="Verdana" w:cs="Verdana" w:eastAsia="Verdana" w:hAnsi="Verdana"/>
          <w:sz w:val="17"/>
          <w:szCs w:val="17"/>
          <w:color w:val="auto"/>
        </w:rPr>
        <w:t>whether or not it has adopted a code of ethics that applies to the mutual fund’s principal executive officer, principal financial officer, principal accounting officer, controller or any other person that performs similar functions (each a “Covered Officer” and, collectively, the “Covered Officers”);</w:t>
      </w:r>
    </w:p>
    <w:p>
      <w:pPr>
        <w:spacing w:after="0" w:line="2"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1"/>
        </w:numPr>
        <w:rPr>
          <w:rFonts w:ascii="Times New Roman" w:cs="Times New Roman" w:eastAsia="Times New Roman" w:hAnsi="Times New Roman"/>
          <w:sz w:val="17"/>
          <w:szCs w:val="17"/>
          <w:color w:val="auto"/>
        </w:rPr>
      </w:pPr>
      <w:r>
        <w:rPr>
          <w:rFonts w:ascii="Verdana" w:cs="Verdana" w:eastAsia="Verdana" w:hAnsi="Verdana"/>
          <w:sz w:val="17"/>
          <w:szCs w:val="17"/>
          <w:color w:val="auto"/>
        </w:rPr>
        <w:t>why, if it has not adopted such code, it has not done so; and</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1"/>
        </w:numPr>
        <w:rPr>
          <w:rFonts w:ascii="Times New Roman" w:cs="Times New Roman" w:eastAsia="Times New Roman" w:hAnsi="Times New Roman"/>
          <w:sz w:val="17"/>
          <w:szCs w:val="17"/>
          <w:color w:val="auto"/>
        </w:rPr>
      </w:pPr>
      <w:r>
        <w:rPr>
          <w:rFonts w:ascii="Verdana" w:cs="Verdana" w:eastAsia="Verdana" w:hAnsi="Verdana"/>
          <w:sz w:val="17"/>
          <w:szCs w:val="17"/>
          <w:color w:val="auto"/>
        </w:rPr>
        <w:t>amendments to, and waivers from, the code of ethics relating to any of the Covered Officers.</w:t>
      </w:r>
    </w:p>
    <w:p>
      <w:pPr>
        <w:spacing w:after="0" w:line="195" w:lineRule="exact"/>
        <w:rPr>
          <w:sz w:val="20"/>
          <w:szCs w:val="20"/>
          <w:color w:val="auto"/>
        </w:rPr>
      </w:pPr>
    </w:p>
    <w:p>
      <w:pPr>
        <w:spacing w:after="0"/>
        <w:rPr>
          <w:sz w:val="20"/>
          <w:szCs w:val="20"/>
          <w:color w:val="auto"/>
        </w:rPr>
      </w:pPr>
      <w:r>
        <w:rPr>
          <w:rFonts w:ascii="Verdana" w:cs="Verdana" w:eastAsia="Verdana" w:hAnsi="Verdana"/>
          <w:sz w:val="17"/>
          <w:szCs w:val="17"/>
          <w:color w:val="auto"/>
        </w:rPr>
        <w:t>Section 406 defines a “code of ethics” to mean such standards as are reasonably necessary to promote:</w:t>
      </w:r>
    </w:p>
    <w:p>
      <w:pPr>
        <w:spacing w:after="0" w:line="186" w:lineRule="exact"/>
        <w:rPr>
          <w:sz w:val="20"/>
          <w:szCs w:val="20"/>
          <w:color w:val="auto"/>
        </w:rPr>
      </w:pPr>
    </w:p>
    <w:p>
      <w:pPr>
        <w:ind w:left="520" w:hanging="260"/>
        <w:spacing w:after="0"/>
        <w:tabs>
          <w:tab w:leader="none" w:pos="516" w:val="left"/>
        </w:tabs>
        <w:numPr>
          <w:ilvl w:val="0"/>
          <w:numId w:val="32"/>
        </w:numPr>
        <w:rPr>
          <w:rFonts w:ascii="Times New Roman" w:cs="Times New Roman" w:eastAsia="Times New Roman" w:hAnsi="Times New Roman"/>
          <w:sz w:val="14"/>
          <w:szCs w:val="14"/>
          <w:color w:val="auto"/>
        </w:rPr>
      </w:pPr>
      <w:r>
        <w:rPr>
          <w:rFonts w:ascii="Verdana" w:cs="Verdana" w:eastAsia="Verdana" w:hAnsi="Verdana"/>
          <w:sz w:val="17"/>
          <w:szCs w:val="17"/>
          <w:color w:val="auto"/>
        </w:rPr>
        <w:t>honest and ethical conduct, including the ethical handling of actual or apparent conflicts of interest between personal and professional relationships;</w:t>
      </w: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Verdana" w:cs="Verdana" w:eastAsia="Verdana" w:hAnsi="Verdana"/>
          <w:sz w:val="17"/>
          <w:szCs w:val="17"/>
          <w:color w:val="auto"/>
        </w:rPr>
        <w:t>full, fair, accurate, timely and understandable disclosure in the periodic reports required to be filed by the issuer; and</w:t>
      </w:r>
    </w:p>
    <w:p>
      <w:pPr>
        <w:spacing w:after="0" w:line="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Verdana" w:cs="Verdana" w:eastAsia="Verdana" w:hAnsi="Verdana"/>
          <w:sz w:val="17"/>
          <w:szCs w:val="17"/>
          <w:color w:val="auto"/>
        </w:rPr>
        <w:t>compliance with applicable laws, rules and regulations.</w:t>
      </w:r>
    </w:p>
    <w:p>
      <w:pPr>
        <w:sectPr>
          <w:pgSz w:w="11900" w:h="16838" w:orient="portrait"/>
          <w:cols w:equalWidth="0" w:num="1">
            <w:col w:w="11280"/>
          </w:cols>
          <w:pgMar w:left="300" w:top="129" w:right="319" w:bottom="1440" w:gutter="0" w:footer="0" w:header="0"/>
        </w:sectPr>
      </w:pPr>
    </w:p>
    <w:bookmarkStart w:id="62" w:name="page63"/>
    <w:bookmarkEnd w:id="62"/>
    <w:p>
      <w:pPr>
        <w:spacing w:after="0" w:line="250" w:lineRule="auto"/>
        <w:rPr>
          <w:sz w:val="20"/>
          <w:szCs w:val="20"/>
          <w:color w:val="auto"/>
        </w:rPr>
      </w:pPr>
      <w:r>
        <w:rPr>
          <w:rFonts w:ascii="Verdana" w:cs="Verdana" w:eastAsia="Verdana" w:hAnsi="Verdana"/>
          <w:sz w:val="17"/>
          <w:szCs w:val="17"/>
          <w:color w:val="auto"/>
        </w:rPr>
        <w:t>This Code of Ethics for Principal Executive and Financial Officers (the “Executive Code”) sets forth standards and procedures to ensure compliance with SOX Section 406 and shall apply to each Covered Officer of the Fund.</w:t>
      </w:r>
    </w:p>
    <w:p>
      <w:pPr>
        <w:spacing w:after="0" w:line="174" w:lineRule="exact"/>
        <w:rPr>
          <w:sz w:val="20"/>
          <w:szCs w:val="20"/>
          <w:color w:val="auto"/>
        </w:rPr>
      </w:pPr>
    </w:p>
    <w:p>
      <w:pPr>
        <w:ind w:left="440" w:hanging="435"/>
        <w:spacing w:after="0"/>
        <w:tabs>
          <w:tab w:leader="none" w:pos="440" w:val="left"/>
        </w:tabs>
        <w:numPr>
          <w:ilvl w:val="0"/>
          <w:numId w:val="33"/>
        </w:numPr>
        <w:rPr>
          <w:rFonts w:ascii="Verdana" w:cs="Verdana" w:eastAsia="Verdana" w:hAnsi="Verdana"/>
          <w:sz w:val="17"/>
          <w:szCs w:val="17"/>
          <w:b w:val="1"/>
          <w:bCs w:val="1"/>
          <w:color w:val="00137E"/>
        </w:rPr>
      </w:pPr>
      <w:r>
        <w:rPr>
          <w:rFonts w:ascii="Verdana" w:cs="Verdana" w:eastAsia="Verdana" w:hAnsi="Verdana"/>
          <w:sz w:val="17"/>
          <w:szCs w:val="17"/>
          <w:b w:val="1"/>
          <w:bCs w:val="1"/>
          <w:u w:val="single" w:color="auto"/>
          <w:color w:val="00137E"/>
        </w:rPr>
        <w:t>POLICY</w:t>
      </w:r>
    </w:p>
    <w:p>
      <w:pPr>
        <w:spacing w:after="0" w:line="186" w:lineRule="exact"/>
        <w:rPr>
          <w:sz w:val="20"/>
          <w:szCs w:val="20"/>
          <w:color w:val="auto"/>
        </w:rPr>
      </w:pPr>
    </w:p>
    <w:p>
      <w:pPr>
        <w:spacing w:after="0"/>
        <w:rPr>
          <w:sz w:val="20"/>
          <w:szCs w:val="20"/>
          <w:color w:val="auto"/>
        </w:rPr>
      </w:pPr>
      <w:r>
        <w:rPr>
          <w:rFonts w:ascii="Verdana" w:cs="Verdana" w:eastAsia="Verdana" w:hAnsi="Verdana"/>
          <w:sz w:val="17"/>
          <w:szCs w:val="17"/>
          <w:b w:val="1"/>
          <w:bCs w:val="1"/>
          <w:u w:val="single" w:color="auto"/>
          <w:color w:val="auto"/>
        </w:rPr>
        <w:t>Honest and Ethical Conduct</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7"/>
          <w:szCs w:val="17"/>
          <w:color w:val="auto"/>
        </w:rPr>
        <w:t>This Executive Code is intended to assure that the behavior of Covered Officers does not put, or appear to put, the interests of other parties above those of the Fund and that conflicts of interest are identified and handled ethically. A conflict of interest occurs when a Covered Officer allows, or appears to allow, advantages that could otherwise be avoided or ameliorated, to other parties at the expense of a Fund. Such advantages may benefit a Covered Officer’s own private interests over the interests of the Fund. Conflicts of interest may also arise when, in addition to serving as a Covered Officer of a Fund, a Covered Officer also holds a position as an officer or employee of an investment adviser or other entity retained by a Fund. A conflict of interest may be created if a Covered Officer who also serves as an officer or employee of an investment adviser to a Fund, provides benefits to another party that are improper, or that are a breach of the Covered Officer’s fiduciary relationship to the Fund, if the benefit was derived from such Covered Officer’s position with the Fund.</w:t>
      </w:r>
    </w:p>
    <w:p>
      <w:pPr>
        <w:spacing w:after="0" w:line="183" w:lineRule="exact"/>
        <w:rPr>
          <w:sz w:val="20"/>
          <w:szCs w:val="20"/>
          <w:color w:val="auto"/>
        </w:rPr>
      </w:pPr>
    </w:p>
    <w:p>
      <w:pPr>
        <w:jc w:val="both"/>
        <w:spacing w:after="0" w:line="235" w:lineRule="auto"/>
        <w:rPr>
          <w:sz w:val="20"/>
          <w:szCs w:val="20"/>
          <w:color w:val="auto"/>
        </w:rPr>
      </w:pPr>
      <w:r>
        <w:rPr>
          <w:rFonts w:ascii="Verdana" w:cs="Verdana" w:eastAsia="Verdana" w:hAnsi="Verdana"/>
          <w:sz w:val="17"/>
          <w:szCs w:val="17"/>
          <w:color w:val="auto"/>
        </w:rPr>
        <w:t>The compliance programs and procedures of the Fund and the investment adviser to the funds are designed to prevent, or identify and correct, violations of provisions set forth in the Investment Company Act and the Investment Advisers Act, including certain conflict of interest provisions. The obligations imposed by this Executive Code on Covered Officers are separate and in addition to any obligations imposed on such persons under any other procedures, such as the Code of Ethics adopted by the Funds and the investment advisers to the Funds pursuant to Rule 17j-1 under the Investment Company Act. This Executive Code does not, and is not intended to, repeat or replace these programs and procedures. Violations of such other programs and procedures shall be addressed in accordance with the applicable program or procedure, unless or until it is determined that a violation of such program and procedure is also a violation of this Executive Code.</w:t>
      </w:r>
    </w:p>
    <w:p>
      <w:pPr>
        <w:spacing w:after="0" w:line="5" w:lineRule="exact"/>
        <w:rPr>
          <w:sz w:val="20"/>
          <w:szCs w:val="20"/>
          <w:color w:val="auto"/>
        </w:rPr>
      </w:pPr>
    </w:p>
    <w:p>
      <w:pPr>
        <w:jc w:val="both"/>
        <w:spacing w:after="0" w:line="243" w:lineRule="auto"/>
        <w:rPr>
          <w:sz w:val="20"/>
          <w:szCs w:val="20"/>
          <w:color w:val="auto"/>
        </w:rPr>
      </w:pPr>
      <w:r>
        <w:rPr>
          <w:rFonts w:ascii="Verdana" w:cs="Verdana" w:eastAsia="Verdana" w:hAnsi="Verdana"/>
          <w:sz w:val="17"/>
          <w:szCs w:val="17"/>
          <w:color w:val="auto"/>
        </w:rPr>
        <w:t>If a Covered Officer becomes aware of a conflict of interest or perceives there to be a conflict of interest, such Covered Officer shall promptly report the matter to the Fund’s Chief Compliance Officer or Chief Legal Officer. Upon receipt of a report, the Fund’s Chief Compliance Officer or Chief Legal Officer will take prompt steps to determine whether a conflict or perceived conflict of interest exists. If it is determined that an actual or perceived</w:t>
      </w:r>
    </w:p>
    <w:p>
      <w:pPr>
        <w:sectPr>
          <w:pgSz w:w="11900" w:h="16838" w:orient="portrait"/>
          <w:cols w:equalWidth="0" w:num="1">
            <w:col w:w="11280"/>
          </w:cols>
          <w:pgMar w:left="300" w:top="1157" w:right="319" w:bottom="1440" w:gutter="0" w:footer="0" w:header="0"/>
        </w:sectPr>
      </w:pPr>
    </w:p>
    <w:bookmarkStart w:id="63" w:name="page64"/>
    <w:bookmarkEnd w:id="63"/>
    <w:p>
      <w:pPr>
        <w:jc w:val="both"/>
        <w:spacing w:after="0" w:line="243" w:lineRule="auto"/>
        <w:rPr>
          <w:sz w:val="20"/>
          <w:szCs w:val="20"/>
          <w:color w:val="auto"/>
        </w:rPr>
      </w:pPr>
      <w:r>
        <w:rPr>
          <w:rFonts w:ascii="Verdana" w:cs="Verdana" w:eastAsia="Verdana" w:hAnsi="Verdana"/>
          <w:sz w:val="17"/>
          <w:szCs w:val="17"/>
          <w:color w:val="auto"/>
        </w:rPr>
        <w:t>conflict of interest exists, the Funds’ Chief Compliance Officer or Chief Legal Officer will take steps to resolve the conflict or the appearance of a conflict. If it is determined that no conflict or appearance of a conflict exists, the Funds’ Chief Compliance Officer or Chief Legal Officer shall meet with the Covered Officer to advise him or her of such finding and of his or her reason for taking no action. In lieu of determining whether a conflict or appearance of conflict exists, the matter may be referred to the Board.</w:t>
      </w:r>
    </w:p>
    <w:p>
      <w:pPr>
        <w:spacing w:after="0" w:line="171" w:lineRule="exact"/>
        <w:rPr>
          <w:sz w:val="20"/>
          <w:szCs w:val="20"/>
          <w:color w:val="auto"/>
        </w:rPr>
      </w:pPr>
    </w:p>
    <w:p>
      <w:pPr>
        <w:spacing w:after="0"/>
        <w:rPr>
          <w:sz w:val="20"/>
          <w:szCs w:val="20"/>
          <w:color w:val="auto"/>
        </w:rPr>
      </w:pPr>
      <w:r>
        <w:rPr>
          <w:rFonts w:ascii="Verdana" w:cs="Verdana" w:eastAsia="Verdana" w:hAnsi="Verdana"/>
          <w:sz w:val="17"/>
          <w:szCs w:val="17"/>
          <w:b w:val="1"/>
          <w:bCs w:val="1"/>
          <w:u w:val="single" w:color="auto"/>
          <w:color w:val="auto"/>
        </w:rPr>
        <w:t>Prohibited Activity</w:t>
      </w:r>
    </w:p>
    <w:p>
      <w:pPr>
        <w:spacing w:after="0" w:line="186" w:lineRule="exact"/>
        <w:rPr>
          <w:sz w:val="20"/>
          <w:szCs w:val="20"/>
          <w:color w:val="auto"/>
        </w:rPr>
      </w:pPr>
    </w:p>
    <w:p>
      <w:pPr>
        <w:spacing w:after="0"/>
        <w:rPr>
          <w:sz w:val="20"/>
          <w:szCs w:val="20"/>
          <w:color w:val="auto"/>
        </w:rPr>
      </w:pPr>
      <w:r>
        <w:rPr>
          <w:rFonts w:ascii="Verdana" w:cs="Verdana" w:eastAsia="Verdana" w:hAnsi="Verdana"/>
          <w:sz w:val="17"/>
          <w:szCs w:val="17"/>
          <w:color w:val="auto"/>
        </w:rPr>
        <w:t>No Covered Officer shall, in connection with carrying out his or her duties on behalf of a Fund:</w:t>
      </w:r>
    </w:p>
    <w:p>
      <w:pPr>
        <w:spacing w:after="0" w:line="186" w:lineRule="exact"/>
        <w:rPr>
          <w:sz w:val="20"/>
          <w:szCs w:val="20"/>
          <w:color w:val="auto"/>
        </w:rPr>
      </w:pPr>
    </w:p>
    <w:p>
      <w:pPr>
        <w:jc w:val="both"/>
        <w:ind w:left="520" w:hanging="254"/>
        <w:spacing w:after="0" w:line="248" w:lineRule="auto"/>
        <w:rPr>
          <w:sz w:val="20"/>
          <w:szCs w:val="20"/>
          <w:color w:val="auto"/>
        </w:rPr>
      </w:pPr>
      <w:r>
        <w:rPr>
          <w:rFonts w:ascii="Verdana" w:cs="Verdana" w:eastAsia="Verdana" w:hAnsi="Verdana"/>
          <w:sz w:val="17"/>
          <w:szCs w:val="17"/>
          <w:color w:val="auto"/>
        </w:rPr>
        <w:t>a. Use information concerning business and affairs of the Fund, including the investment intentions of the Fund, for personal gain to himself or herself, his or her family or friends or any other person, or in a manner detrimental to the interests of the Fund or the shareholders of the Fund;</w:t>
      </w:r>
    </w:p>
    <w:p>
      <w:pPr>
        <w:spacing w:after="0" w:line="166" w:lineRule="exact"/>
        <w:rPr>
          <w:sz w:val="20"/>
          <w:szCs w:val="20"/>
          <w:color w:val="auto"/>
        </w:rPr>
      </w:pPr>
    </w:p>
    <w:p>
      <w:pPr>
        <w:ind w:left="520" w:hanging="260"/>
        <w:spacing w:after="0" w:line="250" w:lineRule="auto"/>
        <w:tabs>
          <w:tab w:leader="none" w:pos="516"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Use his or her ability to influence investment intentions for personal gain to himself or herself, his or her family or friends or any other person or in a manner detrimental to the Fund or the shareholders of the Fund;</w:t>
      </w:r>
    </w:p>
    <w:p>
      <w:pPr>
        <w:spacing w:after="0" w:line="163" w:lineRule="exact"/>
        <w:rPr>
          <w:rFonts w:ascii="Verdana" w:cs="Verdana" w:eastAsia="Verdana" w:hAnsi="Verdana"/>
          <w:sz w:val="17"/>
          <w:szCs w:val="17"/>
          <w:color w:val="auto"/>
        </w:rPr>
      </w:pPr>
    </w:p>
    <w:p>
      <w:pPr>
        <w:ind w:left="520" w:hanging="260"/>
        <w:spacing w:after="0" w:line="250" w:lineRule="auto"/>
        <w:tabs>
          <w:tab w:leader="none" w:pos="511"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Use his or her personal influence or personal relationships to influence the preparation and issuance of financial reports of a Fund whereby the Covered Officer would benefit personally to the detriment of the Fund or the shareholders of the Fund;</w:t>
      </w:r>
    </w:p>
    <w:p>
      <w:pPr>
        <w:spacing w:after="0" w:line="174" w:lineRule="exact"/>
        <w:rPr>
          <w:rFonts w:ascii="Verdana" w:cs="Verdana" w:eastAsia="Verdana" w:hAnsi="Verdana"/>
          <w:sz w:val="17"/>
          <w:szCs w:val="17"/>
          <w:color w:val="auto"/>
        </w:rPr>
      </w:pPr>
    </w:p>
    <w:p>
      <w:pPr>
        <w:ind w:left="520" w:hanging="260"/>
        <w:spacing w:after="0" w:line="234" w:lineRule="auto"/>
        <w:tabs>
          <w:tab w:leader="none" w:pos="518"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Intentionally take any action or fail to take any action in connection with his or her official acts on behalf of the Fund that causes the Fund to violate applicable laws, rules and regulations;</w:t>
      </w:r>
    </w:p>
    <w:p>
      <w:pPr>
        <w:ind w:left="500" w:hanging="240"/>
        <w:spacing w:after="0"/>
        <w:tabs>
          <w:tab w:leader="none" w:pos="500"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Employ any device, scheme, artifice or manipulative practice to defraud a Fund or the shareholders of the Fund;</w:t>
      </w:r>
    </w:p>
    <w:p>
      <w:pPr>
        <w:spacing w:after="0" w:line="185" w:lineRule="exact"/>
        <w:rPr>
          <w:rFonts w:ascii="Verdana" w:cs="Verdana" w:eastAsia="Verdana" w:hAnsi="Verdana"/>
          <w:sz w:val="17"/>
          <w:szCs w:val="17"/>
          <w:color w:val="auto"/>
        </w:rPr>
      </w:pPr>
    </w:p>
    <w:p>
      <w:pPr>
        <w:ind w:left="520" w:hanging="260"/>
        <w:spacing w:after="0" w:line="250" w:lineRule="auto"/>
        <w:tabs>
          <w:tab w:leader="none" w:pos="504"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Intentionally cause a Fund to make any untrue statement of a material fact or omit to state a material fact that conflicts with statements made in official documents, regulatory filings, financial statements or communications to the public;</w:t>
      </w:r>
    </w:p>
    <w:p>
      <w:pPr>
        <w:spacing w:after="0" w:line="174" w:lineRule="exact"/>
        <w:rPr>
          <w:rFonts w:ascii="Verdana" w:cs="Verdana" w:eastAsia="Verdana" w:hAnsi="Verdana"/>
          <w:sz w:val="17"/>
          <w:szCs w:val="17"/>
          <w:color w:val="auto"/>
        </w:rPr>
      </w:pPr>
    </w:p>
    <w:p>
      <w:pPr>
        <w:ind w:left="520" w:hanging="260"/>
        <w:spacing w:after="0" w:line="250" w:lineRule="auto"/>
        <w:tabs>
          <w:tab w:leader="none" w:pos="518" w:val="left"/>
        </w:tabs>
        <w:numPr>
          <w:ilvl w:val="0"/>
          <w:numId w:val="34"/>
        </w:numPr>
        <w:rPr>
          <w:rFonts w:ascii="Verdana" w:cs="Verdana" w:eastAsia="Verdana" w:hAnsi="Verdana"/>
          <w:sz w:val="17"/>
          <w:szCs w:val="17"/>
          <w:color w:val="auto"/>
        </w:rPr>
      </w:pPr>
      <w:r>
        <w:rPr>
          <w:rFonts w:ascii="Verdana" w:cs="Verdana" w:eastAsia="Verdana" w:hAnsi="Verdana"/>
          <w:sz w:val="17"/>
          <w:szCs w:val="17"/>
          <w:color w:val="auto"/>
        </w:rPr>
        <w:t>Intentionally cause a Fund to fail to comply with applicable laws, rules and regulations, including failure to comply with the requirement of full, fair, accurate, understandable and timely disclosure in reports and</w:t>
      </w:r>
    </w:p>
    <w:p>
      <w:pPr>
        <w:sectPr>
          <w:pgSz w:w="11900" w:h="16838" w:orient="portrait"/>
          <w:cols w:equalWidth="0" w:num="1">
            <w:col w:w="11280"/>
          </w:cols>
          <w:pgMar w:left="300" w:top="1157" w:right="319" w:bottom="1440" w:gutter="0" w:footer="0" w:header="0"/>
        </w:sectPr>
      </w:pPr>
    </w:p>
    <w:bookmarkStart w:id="64" w:name="page65"/>
    <w:bookmarkEnd w:id="64"/>
    <w:p>
      <w:pPr>
        <w:ind w:left="520"/>
        <w:spacing w:after="0"/>
        <w:rPr>
          <w:sz w:val="20"/>
          <w:szCs w:val="20"/>
          <w:color w:val="auto"/>
        </w:rPr>
      </w:pPr>
      <w:r>
        <w:rPr>
          <w:rFonts w:ascii="Verdana" w:cs="Verdana" w:eastAsia="Verdana" w:hAnsi="Verdana"/>
          <w:sz w:val="17"/>
          <w:szCs w:val="17"/>
          <w:color w:val="auto"/>
        </w:rPr>
        <w:t>documents that the Fund files with, or submits to, the SEC and in other public communications;</w:t>
      </w:r>
    </w:p>
    <w:p>
      <w:pPr>
        <w:spacing w:after="0" w:line="186" w:lineRule="exact"/>
        <w:rPr>
          <w:sz w:val="20"/>
          <w:szCs w:val="20"/>
          <w:color w:val="auto"/>
        </w:rPr>
      </w:pPr>
    </w:p>
    <w:p>
      <w:pPr>
        <w:ind w:left="520" w:hanging="254"/>
        <w:spacing w:after="0" w:line="262" w:lineRule="auto"/>
        <w:rPr>
          <w:sz w:val="20"/>
          <w:szCs w:val="20"/>
          <w:color w:val="auto"/>
        </w:rPr>
      </w:pPr>
      <w:r>
        <w:rPr>
          <w:rFonts w:ascii="Verdana" w:cs="Verdana" w:eastAsia="Verdana" w:hAnsi="Verdana"/>
          <w:sz w:val="17"/>
          <w:szCs w:val="17"/>
          <w:color w:val="auto"/>
        </w:rPr>
        <w:t>h. Intentionally mislead or fail to provide material information to the independent auditors of a Fund or to the Board of Trustees/Directors or the officers of the Fund or its investment adviser(s) in connection with financial reporting matters;</w:t>
      </w:r>
    </w:p>
    <w:p>
      <w:pPr>
        <w:spacing w:after="0" w:line="154" w:lineRule="exact"/>
        <w:rPr>
          <w:sz w:val="20"/>
          <w:szCs w:val="20"/>
          <w:color w:val="auto"/>
        </w:rPr>
      </w:pPr>
    </w:p>
    <w:p>
      <w:pPr>
        <w:ind w:left="500" w:hanging="240"/>
        <w:spacing w:after="0"/>
        <w:tabs>
          <w:tab w:leader="none" w:pos="500" w:val="left"/>
        </w:tabs>
        <w:numPr>
          <w:ilvl w:val="0"/>
          <w:numId w:val="35"/>
        </w:numPr>
        <w:rPr>
          <w:rFonts w:ascii="Verdana" w:cs="Verdana" w:eastAsia="Verdana" w:hAnsi="Verdana"/>
          <w:sz w:val="17"/>
          <w:szCs w:val="17"/>
          <w:color w:val="auto"/>
        </w:rPr>
      </w:pPr>
      <w:r>
        <w:rPr>
          <w:rFonts w:ascii="Verdana" w:cs="Verdana" w:eastAsia="Verdana" w:hAnsi="Verdana"/>
          <w:sz w:val="17"/>
          <w:szCs w:val="17"/>
          <w:color w:val="auto"/>
        </w:rPr>
        <w:t>Intentionally cause a Fund to be financially disadvantaged or to bear unwarranted expenses;</w:t>
      </w:r>
    </w:p>
    <w:p>
      <w:pPr>
        <w:spacing w:after="0" w:line="185" w:lineRule="exact"/>
        <w:rPr>
          <w:rFonts w:ascii="Verdana" w:cs="Verdana" w:eastAsia="Verdana" w:hAnsi="Verdana"/>
          <w:sz w:val="17"/>
          <w:szCs w:val="17"/>
          <w:color w:val="auto"/>
        </w:rPr>
      </w:pPr>
    </w:p>
    <w:p>
      <w:pPr>
        <w:ind w:left="500" w:hanging="240"/>
        <w:spacing w:after="0"/>
        <w:tabs>
          <w:tab w:leader="none" w:pos="500" w:val="left"/>
        </w:tabs>
        <w:numPr>
          <w:ilvl w:val="0"/>
          <w:numId w:val="35"/>
        </w:numPr>
        <w:rPr>
          <w:rFonts w:ascii="Verdana" w:cs="Verdana" w:eastAsia="Verdana" w:hAnsi="Verdana"/>
          <w:sz w:val="17"/>
          <w:szCs w:val="17"/>
          <w:color w:val="auto"/>
        </w:rPr>
      </w:pPr>
      <w:r>
        <w:rPr>
          <w:rFonts w:ascii="Verdana" w:cs="Verdana" w:eastAsia="Verdana" w:hAnsi="Verdana"/>
          <w:sz w:val="17"/>
          <w:szCs w:val="17"/>
          <w:color w:val="auto"/>
        </w:rPr>
        <w:t>Retaliate against others for, or otherwise discourage the reporting of, actual or apparent violations of this Executive Code.</w:t>
      </w:r>
    </w:p>
    <w:p>
      <w:pPr>
        <w:spacing w:after="0" w:line="186" w:lineRule="exact"/>
        <w:rPr>
          <w:sz w:val="20"/>
          <w:szCs w:val="20"/>
          <w:color w:val="auto"/>
        </w:rPr>
      </w:pPr>
    </w:p>
    <w:p>
      <w:pPr>
        <w:spacing w:after="0"/>
        <w:rPr>
          <w:sz w:val="20"/>
          <w:szCs w:val="20"/>
          <w:color w:val="auto"/>
        </w:rPr>
      </w:pPr>
      <w:r>
        <w:rPr>
          <w:rFonts w:ascii="Verdana" w:cs="Verdana" w:eastAsia="Verdana" w:hAnsi="Verdana"/>
          <w:sz w:val="17"/>
          <w:szCs w:val="17"/>
          <w:b w:val="1"/>
          <w:bCs w:val="1"/>
          <w:u w:val="single" w:color="auto"/>
          <w:color w:val="auto"/>
        </w:rPr>
        <w:t>Waivers</w:t>
      </w:r>
    </w:p>
    <w:p>
      <w:pPr>
        <w:spacing w:after="0" w:line="186" w:lineRule="exact"/>
        <w:rPr>
          <w:sz w:val="20"/>
          <w:szCs w:val="20"/>
          <w:color w:val="auto"/>
        </w:rPr>
      </w:pPr>
    </w:p>
    <w:p>
      <w:pPr>
        <w:jc w:val="both"/>
        <w:spacing w:after="0" w:line="248" w:lineRule="auto"/>
        <w:rPr>
          <w:sz w:val="20"/>
          <w:szCs w:val="20"/>
          <w:color w:val="auto"/>
        </w:rPr>
      </w:pPr>
      <w:r>
        <w:rPr>
          <w:rFonts w:ascii="Verdana" w:cs="Verdana" w:eastAsia="Verdana" w:hAnsi="Verdana"/>
          <w:sz w:val="17"/>
          <w:szCs w:val="17"/>
          <w:color w:val="auto"/>
        </w:rPr>
        <w:t>Covered Officers requesting a waiver of any of the provisions of the Executive Code must submit a written request for such waiver to the Compliance Department, setting forth the basis of such request and all necessary facts upon which such request can be evaluated.</w:t>
      </w:r>
    </w:p>
    <w:p>
      <w:pPr>
        <w:spacing w:after="0" w:line="166" w:lineRule="exact"/>
        <w:rPr>
          <w:sz w:val="20"/>
          <w:szCs w:val="20"/>
          <w:color w:val="auto"/>
        </w:rPr>
      </w:pPr>
    </w:p>
    <w:p>
      <w:pPr>
        <w:jc w:val="both"/>
        <w:spacing w:after="0" w:line="242" w:lineRule="auto"/>
        <w:rPr>
          <w:sz w:val="20"/>
          <w:szCs w:val="20"/>
          <w:color w:val="auto"/>
        </w:rPr>
      </w:pPr>
      <w:r>
        <w:rPr>
          <w:rFonts w:ascii="Verdana" w:cs="Verdana" w:eastAsia="Verdana" w:hAnsi="Verdana"/>
          <w:sz w:val="17"/>
          <w:szCs w:val="17"/>
          <w:color w:val="auto"/>
        </w:rPr>
        <w:t>The Compliance Department shall review such request and make a written determination thereon, which shall be binding. The Compliance Department may, in reviewing such request, consult in its discretion with legal counsel to the Funds, or the Board, if applicable.</w:t>
      </w:r>
    </w:p>
    <w:p>
      <w:pPr>
        <w:spacing w:after="0" w:line="171" w:lineRule="exact"/>
        <w:rPr>
          <w:sz w:val="20"/>
          <w:szCs w:val="20"/>
          <w:color w:val="auto"/>
        </w:rPr>
      </w:pPr>
    </w:p>
    <w:p>
      <w:pPr>
        <w:jc w:val="both"/>
        <w:spacing w:after="0" w:line="262" w:lineRule="auto"/>
        <w:rPr>
          <w:sz w:val="20"/>
          <w:szCs w:val="20"/>
          <w:color w:val="auto"/>
        </w:rPr>
      </w:pPr>
      <w:r>
        <w:rPr>
          <w:rFonts w:ascii="Verdana" w:cs="Verdana" w:eastAsia="Verdana" w:hAnsi="Verdana"/>
          <w:sz w:val="17"/>
          <w:szCs w:val="17"/>
          <w:color w:val="auto"/>
        </w:rPr>
        <w:t>In determining whether to waive any of the provisions of this Code, the Compliance Department shall consider whether the proposed waiver:</w:t>
      </w:r>
    </w:p>
    <w:p>
      <w:pPr>
        <w:spacing w:after="0" w:line="154"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7"/>
          <w:szCs w:val="17"/>
          <w:color w:val="auto"/>
        </w:rPr>
      </w:pPr>
      <w:r>
        <w:rPr>
          <w:rFonts w:ascii="Verdana" w:cs="Verdana" w:eastAsia="Verdana" w:hAnsi="Verdana"/>
          <w:sz w:val="17"/>
          <w:szCs w:val="17"/>
          <w:color w:val="auto"/>
        </w:rPr>
        <w:t>is prohibited by this Executive Code;</w:t>
      </w:r>
    </w:p>
    <w:p>
      <w:pPr>
        <w:spacing w:after="0" w:line="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6"/>
        </w:numPr>
        <w:rPr>
          <w:rFonts w:ascii="Times New Roman" w:cs="Times New Roman" w:eastAsia="Times New Roman" w:hAnsi="Times New Roman"/>
          <w:sz w:val="17"/>
          <w:szCs w:val="17"/>
          <w:color w:val="auto"/>
        </w:rPr>
      </w:pPr>
      <w:r>
        <w:rPr>
          <w:rFonts w:ascii="Verdana" w:cs="Verdana" w:eastAsia="Verdana" w:hAnsi="Verdana"/>
          <w:sz w:val="17"/>
          <w:szCs w:val="17"/>
          <w:color w:val="auto"/>
        </w:rPr>
        <w:t>is consistent with honest and ethical conduct; and</w:t>
      </w:r>
    </w:p>
    <w:p>
      <w:pPr>
        <w:spacing w:after="0" w:line="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6"/>
        </w:numPr>
        <w:rPr>
          <w:rFonts w:ascii="Times New Roman" w:cs="Times New Roman" w:eastAsia="Times New Roman" w:hAnsi="Times New Roman"/>
          <w:sz w:val="17"/>
          <w:szCs w:val="17"/>
          <w:color w:val="auto"/>
        </w:rPr>
      </w:pPr>
      <w:r>
        <w:rPr>
          <w:rFonts w:ascii="Verdana" w:cs="Verdana" w:eastAsia="Verdana" w:hAnsi="Verdana"/>
          <w:sz w:val="17"/>
          <w:szCs w:val="17"/>
          <w:color w:val="auto"/>
        </w:rPr>
        <w:t>will result in a conflict of interest between the Covered Officer’s personal and professional obligations to a Fund.</w:t>
      </w:r>
    </w:p>
    <w:p>
      <w:pPr>
        <w:spacing w:after="0" w:line="195" w:lineRule="exact"/>
        <w:rPr>
          <w:sz w:val="20"/>
          <w:szCs w:val="20"/>
          <w:color w:val="auto"/>
        </w:rPr>
      </w:pPr>
    </w:p>
    <w:p>
      <w:pPr>
        <w:jc w:val="both"/>
        <w:spacing w:after="0" w:line="262" w:lineRule="auto"/>
        <w:rPr>
          <w:sz w:val="20"/>
          <w:szCs w:val="20"/>
          <w:color w:val="auto"/>
        </w:rPr>
      </w:pPr>
      <w:r>
        <w:rPr>
          <w:rFonts w:ascii="Verdana" w:cs="Verdana" w:eastAsia="Verdana" w:hAnsi="Verdana"/>
          <w:sz w:val="17"/>
          <w:szCs w:val="17"/>
          <w:color w:val="auto"/>
        </w:rPr>
        <w:t>For purposes of clarification, a determination by a Board as to the appropriate handling of a conflict of interest that has been disclosed to it and that does not involve unethical or fraudulent conduct does not constitute a waiver of this Executive Code.</w:t>
      </w:r>
    </w:p>
    <w:p>
      <w:pPr>
        <w:spacing w:after="0" w:line="154" w:lineRule="exact"/>
        <w:rPr>
          <w:sz w:val="20"/>
          <w:szCs w:val="20"/>
          <w:color w:val="auto"/>
        </w:rPr>
      </w:pPr>
    </w:p>
    <w:p>
      <w:pPr>
        <w:spacing w:after="0"/>
        <w:rPr>
          <w:sz w:val="20"/>
          <w:szCs w:val="20"/>
          <w:color w:val="auto"/>
        </w:rPr>
      </w:pPr>
      <w:r>
        <w:rPr>
          <w:rFonts w:ascii="Verdana" w:cs="Verdana" w:eastAsia="Verdana" w:hAnsi="Verdana"/>
          <w:sz w:val="17"/>
          <w:szCs w:val="17"/>
          <w:b w:val="1"/>
          <w:bCs w:val="1"/>
          <w:u w:val="single" w:color="auto"/>
          <w:color w:val="auto"/>
        </w:rPr>
        <w:t>Sanctions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7"/>
          <w:szCs w:val="17"/>
          <w:color w:val="auto"/>
        </w:rPr>
        <w:t>Any violation of this Executive Code shall be subject to the imposition of such sanctions as may be deemed appropriate under the circumstances and may include, without limitation, a letter of censure, suspension from employment or termination of employment.</w:t>
      </w:r>
    </w:p>
    <w:p>
      <w:pPr>
        <w:sectPr>
          <w:pgSz w:w="11900" w:h="16838" w:orient="portrait"/>
          <w:cols w:equalWidth="0" w:num="1">
            <w:col w:w="11280"/>
          </w:cols>
          <w:pgMar w:left="300" w:top="1157" w:right="319" w:bottom="1440" w:gutter="0" w:footer="0" w:header="0"/>
        </w:sectPr>
      </w:pPr>
    </w:p>
    <w:bookmarkStart w:id="65" w:name="page66"/>
    <w:bookmarkEnd w:id="65"/>
    <w:p>
      <w:pPr>
        <w:spacing w:after="0"/>
        <w:rPr>
          <w:sz w:val="20"/>
          <w:szCs w:val="20"/>
          <w:color w:val="auto"/>
        </w:rPr>
      </w:pPr>
      <w:r>
        <w:rPr>
          <w:rFonts w:ascii="Verdana" w:cs="Verdana" w:eastAsia="Verdana" w:hAnsi="Verdana"/>
          <w:sz w:val="17"/>
          <w:szCs w:val="17"/>
          <w:u w:val="single" w:color="auto"/>
          <w:color w:val="auto"/>
        </w:rPr>
        <w:t>Amendments.</w:t>
      </w:r>
      <w:r>
        <w:rPr>
          <w:rFonts w:ascii="Verdana" w:cs="Verdana" w:eastAsia="Verdana" w:hAnsi="Verdana"/>
          <w:sz w:val="17"/>
          <w:szCs w:val="17"/>
          <w:color w:val="auto"/>
        </w:rPr>
        <w:t xml:space="preserve"> Amendments to this Executive Code shall be approved by the Board.</w:t>
      </w:r>
    </w:p>
    <w:p>
      <w:pPr>
        <w:spacing w:after="0" w:line="186" w:lineRule="exact"/>
        <w:rPr>
          <w:sz w:val="20"/>
          <w:szCs w:val="20"/>
          <w:color w:val="auto"/>
        </w:rPr>
      </w:pPr>
    </w:p>
    <w:p>
      <w:pPr>
        <w:ind w:left="420" w:hanging="415"/>
        <w:spacing w:after="0"/>
        <w:tabs>
          <w:tab w:leader="none" w:pos="420" w:val="left"/>
        </w:tabs>
        <w:numPr>
          <w:ilvl w:val="0"/>
          <w:numId w:val="37"/>
        </w:numPr>
        <w:rPr>
          <w:rFonts w:ascii="Verdana" w:cs="Verdana" w:eastAsia="Verdana" w:hAnsi="Verdana"/>
          <w:sz w:val="17"/>
          <w:szCs w:val="17"/>
          <w:b w:val="1"/>
          <w:bCs w:val="1"/>
          <w:color w:val="00137E"/>
        </w:rPr>
      </w:pPr>
      <w:r>
        <w:rPr>
          <w:rFonts w:ascii="Verdana" w:cs="Verdana" w:eastAsia="Verdana" w:hAnsi="Verdana"/>
          <w:sz w:val="17"/>
          <w:szCs w:val="17"/>
          <w:b w:val="1"/>
          <w:bCs w:val="1"/>
          <w:u w:val="single" w:color="auto"/>
          <w:color w:val="00137E"/>
        </w:rPr>
        <w:t>PROCEDURE</w:t>
      </w:r>
    </w:p>
    <w:p>
      <w:pPr>
        <w:spacing w:after="0" w:line="197" w:lineRule="exact"/>
        <w:rPr>
          <w:sz w:val="20"/>
          <w:szCs w:val="20"/>
          <w:color w:val="auto"/>
        </w:rPr>
      </w:pPr>
    </w:p>
    <w:p>
      <w:pPr>
        <w:spacing w:after="0"/>
        <w:rPr>
          <w:sz w:val="20"/>
          <w:szCs w:val="20"/>
          <w:color w:val="auto"/>
        </w:rPr>
      </w:pPr>
      <w:r>
        <w:rPr>
          <w:rFonts w:ascii="Verdana" w:cs="Verdana" w:eastAsia="Verdana" w:hAnsi="Verdana"/>
          <w:sz w:val="17"/>
          <w:szCs w:val="17"/>
          <w:color w:val="auto"/>
        </w:rPr>
        <w:t>Each Covered Officer shall:</w:t>
      </w:r>
    </w:p>
    <w:p>
      <w:pPr>
        <w:spacing w:after="0" w:line="186" w:lineRule="exact"/>
        <w:rPr>
          <w:sz w:val="20"/>
          <w:szCs w:val="20"/>
          <w:color w:val="auto"/>
        </w:rPr>
      </w:pPr>
    </w:p>
    <w:p>
      <w:pPr>
        <w:ind w:left="520" w:hanging="260"/>
        <w:spacing w:after="0" w:line="239" w:lineRule="auto"/>
        <w:tabs>
          <w:tab w:leader="none" w:pos="516" w:val="left"/>
        </w:tabs>
        <w:numPr>
          <w:ilvl w:val="0"/>
          <w:numId w:val="38"/>
        </w:numPr>
        <w:rPr>
          <w:rFonts w:ascii="Times New Roman" w:cs="Times New Roman" w:eastAsia="Times New Roman" w:hAnsi="Times New Roman"/>
          <w:sz w:val="17"/>
          <w:szCs w:val="17"/>
          <w:color w:val="auto"/>
        </w:rPr>
      </w:pPr>
      <w:r>
        <w:rPr>
          <w:rFonts w:ascii="Verdana" w:cs="Verdana" w:eastAsia="Verdana" w:hAnsi="Verdana"/>
          <w:sz w:val="17"/>
          <w:szCs w:val="17"/>
          <w:color w:val="auto"/>
        </w:rPr>
        <w:t>certify that he or she has received, read and understands his or her obligations under the Executive Code (upon becoming subject to the Executive Code and annually thereafter); and</w:t>
      </w:r>
    </w:p>
    <w:p>
      <w:pPr>
        <w:spacing w:after="0" w:line="1"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38"/>
        </w:numPr>
        <w:rPr>
          <w:rFonts w:ascii="Times New Roman" w:cs="Times New Roman" w:eastAsia="Times New Roman" w:hAnsi="Times New Roman"/>
          <w:sz w:val="17"/>
          <w:szCs w:val="17"/>
          <w:color w:val="auto"/>
        </w:rPr>
      </w:pPr>
      <w:r>
        <w:rPr>
          <w:rFonts w:ascii="Verdana" w:cs="Verdana" w:eastAsia="Verdana" w:hAnsi="Verdana"/>
          <w:sz w:val="17"/>
          <w:szCs w:val="17"/>
          <w:color w:val="auto"/>
        </w:rPr>
        <w:t>at least annually, certify that they have compiled with the requirements of the Executive Code and that they have disclosed or reported violations of the Executive Code to the Chief Compliance Officer; and</w:t>
      </w:r>
    </w:p>
    <w:p>
      <w:pPr>
        <w:spacing w:after="0" w:line="1" w:lineRule="exact"/>
        <w:rPr>
          <w:rFonts w:ascii="Times New Roman" w:cs="Times New Roman" w:eastAsia="Times New Roman" w:hAnsi="Times New Roman"/>
          <w:sz w:val="17"/>
          <w:szCs w:val="17"/>
          <w:color w:val="auto"/>
        </w:rPr>
      </w:pPr>
    </w:p>
    <w:p>
      <w:pPr>
        <w:ind w:left="520" w:hanging="260"/>
        <w:spacing w:after="0" w:line="273" w:lineRule="auto"/>
        <w:tabs>
          <w:tab w:leader="none" w:pos="516" w:val="left"/>
        </w:tabs>
        <w:numPr>
          <w:ilvl w:val="0"/>
          <w:numId w:val="38"/>
        </w:numPr>
        <w:rPr>
          <w:rFonts w:ascii="Times New Roman" w:cs="Times New Roman" w:eastAsia="Times New Roman" w:hAnsi="Times New Roman"/>
          <w:sz w:val="17"/>
          <w:szCs w:val="17"/>
          <w:color w:val="auto"/>
        </w:rPr>
      </w:pPr>
      <w:r>
        <w:rPr>
          <w:rFonts w:ascii="Verdana" w:cs="Verdana" w:eastAsia="Verdana" w:hAnsi="Verdana"/>
          <w:sz w:val="17"/>
          <w:szCs w:val="17"/>
          <w:color w:val="auto"/>
        </w:rPr>
        <w:t>promptly report to the Chief Compliance Officer or Chief Legal Officer of the Fund if he or she becomes aware of any actual or perceived conflict of interest.</w:t>
      </w:r>
    </w:p>
    <w:p>
      <w:pPr>
        <w:spacing w:after="0" w:line="144" w:lineRule="exact"/>
        <w:rPr>
          <w:sz w:val="20"/>
          <w:szCs w:val="20"/>
          <w:color w:val="auto"/>
        </w:rPr>
      </w:pPr>
    </w:p>
    <w:p>
      <w:pPr>
        <w:spacing w:after="0"/>
        <w:rPr>
          <w:sz w:val="20"/>
          <w:szCs w:val="20"/>
          <w:color w:val="auto"/>
        </w:rPr>
      </w:pPr>
      <w:r>
        <w:rPr>
          <w:rFonts w:ascii="Verdana" w:cs="Verdana" w:eastAsia="Verdana" w:hAnsi="Verdana"/>
          <w:sz w:val="17"/>
          <w:szCs w:val="17"/>
          <w:color w:val="auto"/>
        </w:rPr>
        <w:t>The Compliance Department shall:</w:t>
      </w:r>
    </w:p>
    <w:p>
      <w:pPr>
        <w:spacing w:after="0" w:line="186"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7"/>
          <w:szCs w:val="17"/>
          <w:color w:val="auto"/>
        </w:rPr>
      </w:pPr>
      <w:r>
        <w:rPr>
          <w:rFonts w:ascii="Verdana" w:cs="Verdana" w:eastAsia="Verdana" w:hAnsi="Verdana"/>
          <w:sz w:val="17"/>
          <w:szCs w:val="17"/>
          <w:color w:val="auto"/>
        </w:rPr>
        <w:t>maintain the current list of Covered Officers;</w:t>
      </w:r>
    </w:p>
    <w:p>
      <w:pPr>
        <w:spacing w:after="0" w:line="4" w:lineRule="exact"/>
        <w:rPr>
          <w:rFonts w:ascii="Times New Roman" w:cs="Times New Roman" w:eastAsia="Times New Roman" w:hAnsi="Times New Roman"/>
          <w:sz w:val="17"/>
          <w:szCs w:val="17"/>
          <w:color w:val="auto"/>
        </w:rPr>
      </w:pPr>
    </w:p>
    <w:p>
      <w:pPr>
        <w:ind w:left="520" w:hanging="260"/>
        <w:spacing w:after="0" w:line="245" w:lineRule="auto"/>
        <w:tabs>
          <w:tab w:leader="none" w:pos="516" w:val="left"/>
        </w:tabs>
        <w:numPr>
          <w:ilvl w:val="0"/>
          <w:numId w:val="39"/>
        </w:numPr>
        <w:rPr>
          <w:rFonts w:ascii="Times New Roman" w:cs="Times New Roman" w:eastAsia="Times New Roman" w:hAnsi="Times New Roman"/>
          <w:sz w:val="17"/>
          <w:szCs w:val="17"/>
          <w:color w:val="auto"/>
        </w:rPr>
      </w:pPr>
      <w:r>
        <w:rPr>
          <w:rFonts w:ascii="Verdana" w:cs="Verdana" w:eastAsia="Verdana" w:hAnsi="Verdana"/>
          <w:sz w:val="17"/>
          <w:szCs w:val="17"/>
          <w:color w:val="auto"/>
        </w:rPr>
        <w:t>furnish each Covered Officer with this Executive Code when such individual becomes subject to the Executive Code and annually thereafter;</w:t>
      </w:r>
    </w:p>
    <w:p>
      <w:pPr>
        <w:spacing w:after="0" w:line="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9"/>
        </w:numPr>
        <w:rPr>
          <w:rFonts w:ascii="Times New Roman" w:cs="Times New Roman" w:eastAsia="Times New Roman" w:hAnsi="Times New Roman"/>
          <w:sz w:val="17"/>
          <w:szCs w:val="17"/>
          <w:color w:val="auto"/>
        </w:rPr>
      </w:pPr>
      <w:r>
        <w:rPr>
          <w:rFonts w:ascii="Verdana" w:cs="Verdana" w:eastAsia="Verdana" w:hAnsi="Verdana"/>
          <w:sz w:val="17"/>
          <w:szCs w:val="17"/>
          <w:color w:val="auto"/>
        </w:rPr>
        <w:t>periodically inform each Covered Officer of his or her duties and obligations under this Executive Code;</w:t>
      </w:r>
    </w:p>
    <w:p>
      <w:pPr>
        <w:spacing w:after="0" w:line="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9"/>
        </w:numPr>
        <w:rPr>
          <w:rFonts w:ascii="Times New Roman" w:cs="Times New Roman" w:eastAsia="Times New Roman" w:hAnsi="Times New Roman"/>
          <w:sz w:val="17"/>
          <w:szCs w:val="17"/>
          <w:color w:val="auto"/>
        </w:rPr>
      </w:pPr>
      <w:r>
        <w:rPr>
          <w:rFonts w:ascii="Verdana" w:cs="Verdana" w:eastAsia="Verdana" w:hAnsi="Verdana"/>
          <w:sz w:val="17"/>
          <w:szCs w:val="17"/>
          <w:color w:val="auto"/>
        </w:rPr>
        <w:t>provide Fund Management with information with respect to amendments to, or waivers of, this Executive Code;</w:t>
      </w:r>
    </w:p>
    <w:p>
      <w:pPr>
        <w:spacing w:after="0" w:line="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9"/>
        </w:numPr>
        <w:rPr>
          <w:rFonts w:ascii="Times New Roman" w:cs="Times New Roman" w:eastAsia="Times New Roman" w:hAnsi="Times New Roman"/>
          <w:sz w:val="17"/>
          <w:szCs w:val="17"/>
          <w:color w:val="auto"/>
        </w:rPr>
      </w:pPr>
      <w:r>
        <w:rPr>
          <w:rFonts w:ascii="Verdana" w:cs="Verdana" w:eastAsia="Verdana" w:hAnsi="Verdana"/>
          <w:sz w:val="17"/>
          <w:szCs w:val="17"/>
          <w:color w:val="auto"/>
        </w:rPr>
        <w:t>provide the Boards with a quarterly report setting forth:</w:t>
      </w:r>
    </w:p>
    <w:p>
      <w:pPr>
        <w:spacing w:after="0" w:line="195" w:lineRule="exact"/>
        <w:rPr>
          <w:rFonts w:ascii="Times New Roman" w:cs="Times New Roman" w:eastAsia="Times New Roman" w:hAnsi="Times New Roman"/>
          <w:sz w:val="17"/>
          <w:szCs w:val="17"/>
          <w:color w:val="auto"/>
        </w:rPr>
      </w:pPr>
    </w:p>
    <w:p>
      <w:pPr>
        <w:ind w:left="1020" w:hanging="251"/>
        <w:spacing w:after="0" w:line="249" w:lineRule="auto"/>
        <w:tabs>
          <w:tab w:leader="none" w:pos="1016" w:val="left"/>
        </w:tabs>
        <w:numPr>
          <w:ilvl w:val="1"/>
          <w:numId w:val="39"/>
        </w:numPr>
        <w:rPr>
          <w:rFonts w:ascii="Courier New" w:cs="Courier New" w:eastAsia="Courier New" w:hAnsi="Courier New"/>
          <w:sz w:val="17"/>
          <w:szCs w:val="17"/>
          <w:color w:val="auto"/>
        </w:rPr>
      </w:pPr>
      <w:r>
        <w:rPr>
          <w:rFonts w:ascii="Verdana" w:cs="Verdana" w:eastAsia="Verdana" w:hAnsi="Verdana"/>
          <w:sz w:val="17"/>
          <w:szCs w:val="17"/>
          <w:color w:val="auto"/>
        </w:rPr>
        <w:t>a description of any report submitted by a Covered Officer of a conflict of interest or perceived conflict of interest and the disposition thereof;</w:t>
      </w:r>
    </w:p>
    <w:p>
      <w:pPr>
        <w:ind w:left="1020" w:hanging="251"/>
        <w:spacing w:after="0" w:line="238" w:lineRule="auto"/>
        <w:tabs>
          <w:tab w:leader="none" w:pos="1020" w:val="left"/>
        </w:tabs>
        <w:numPr>
          <w:ilvl w:val="1"/>
          <w:numId w:val="39"/>
        </w:numPr>
        <w:rPr>
          <w:rFonts w:ascii="Courier New" w:cs="Courier New" w:eastAsia="Courier New" w:hAnsi="Courier New"/>
          <w:sz w:val="17"/>
          <w:szCs w:val="17"/>
          <w:color w:val="auto"/>
        </w:rPr>
      </w:pPr>
      <w:r>
        <w:rPr>
          <w:rFonts w:ascii="Verdana" w:cs="Verdana" w:eastAsia="Verdana" w:hAnsi="Verdana"/>
          <w:sz w:val="17"/>
          <w:szCs w:val="17"/>
          <w:color w:val="auto"/>
        </w:rPr>
        <w:t>a description of any request for a waiver from the Executive Code and the disposition thereof;</w:t>
      </w:r>
    </w:p>
    <w:p>
      <w:pPr>
        <w:spacing w:after="0" w:line="13" w:lineRule="exact"/>
        <w:rPr>
          <w:rFonts w:ascii="Courier New" w:cs="Courier New" w:eastAsia="Courier New" w:hAnsi="Courier New"/>
          <w:sz w:val="17"/>
          <w:szCs w:val="17"/>
          <w:color w:val="auto"/>
        </w:rPr>
      </w:pPr>
    </w:p>
    <w:p>
      <w:pPr>
        <w:ind w:left="1020" w:hanging="251"/>
        <w:spacing w:after="0" w:line="238" w:lineRule="auto"/>
        <w:tabs>
          <w:tab w:leader="none" w:pos="1020" w:val="left"/>
        </w:tabs>
        <w:numPr>
          <w:ilvl w:val="1"/>
          <w:numId w:val="39"/>
        </w:numPr>
        <w:rPr>
          <w:rFonts w:ascii="Courier New" w:cs="Courier New" w:eastAsia="Courier New" w:hAnsi="Courier New"/>
          <w:sz w:val="17"/>
          <w:szCs w:val="17"/>
          <w:color w:val="auto"/>
        </w:rPr>
      </w:pPr>
      <w:r>
        <w:rPr>
          <w:rFonts w:ascii="Verdana" w:cs="Verdana" w:eastAsia="Verdana" w:hAnsi="Verdana"/>
          <w:sz w:val="17"/>
          <w:szCs w:val="17"/>
          <w:color w:val="auto"/>
        </w:rPr>
        <w:t>any violation of the Executive Code that has been reported or detected and the sanction imposed;</w:t>
      </w:r>
    </w:p>
    <w:p>
      <w:pPr>
        <w:spacing w:after="0" w:line="13" w:lineRule="exact"/>
        <w:rPr>
          <w:rFonts w:ascii="Courier New" w:cs="Courier New" w:eastAsia="Courier New" w:hAnsi="Courier New"/>
          <w:sz w:val="17"/>
          <w:szCs w:val="17"/>
          <w:color w:val="auto"/>
        </w:rPr>
      </w:pPr>
    </w:p>
    <w:p>
      <w:pPr>
        <w:ind w:left="1020" w:hanging="251"/>
        <w:spacing w:after="0" w:line="238" w:lineRule="auto"/>
        <w:tabs>
          <w:tab w:leader="none" w:pos="1020" w:val="left"/>
        </w:tabs>
        <w:numPr>
          <w:ilvl w:val="1"/>
          <w:numId w:val="39"/>
        </w:numPr>
        <w:rPr>
          <w:rFonts w:ascii="Courier New" w:cs="Courier New" w:eastAsia="Courier New" w:hAnsi="Courier New"/>
          <w:sz w:val="17"/>
          <w:szCs w:val="17"/>
          <w:color w:val="auto"/>
        </w:rPr>
      </w:pPr>
      <w:r>
        <w:rPr>
          <w:rFonts w:ascii="Verdana" w:cs="Verdana" w:eastAsia="Verdana" w:hAnsi="Verdana"/>
          <w:sz w:val="17"/>
          <w:szCs w:val="17"/>
          <w:color w:val="auto"/>
        </w:rPr>
        <w:t>any other significant information arising under the Executive Code.</w:t>
      </w:r>
    </w:p>
    <w:p>
      <w:pPr>
        <w:sectPr>
          <w:pgSz w:w="11900" w:h="16838" w:orient="portrait"/>
          <w:cols w:equalWidth="0" w:num="1">
            <w:col w:w="11280"/>
          </w:cols>
          <w:pgMar w:left="300" w:top="1157" w:right="319" w:bottom="1440" w:gutter="0" w:footer="0" w:header="0"/>
        </w:sectPr>
      </w:pPr>
    </w:p>
    <w:bookmarkStart w:id="66" w:name="page67"/>
    <w:bookmarkEnd w:id="66"/>
    <w:p>
      <w:pPr>
        <w:spacing w:after="0"/>
        <w:rPr>
          <w:sz w:val="20"/>
          <w:szCs w:val="20"/>
          <w:color w:val="auto"/>
        </w:rPr>
      </w:pPr>
      <w:r>
        <w:rPr>
          <w:rFonts w:ascii="Verdana" w:cs="Verdana" w:eastAsia="Verdana" w:hAnsi="Verdana"/>
          <w:sz w:val="17"/>
          <w:szCs w:val="17"/>
          <w:color w:val="auto"/>
        </w:rPr>
        <w:t>Fund Management shall ensure that the applicable Form N-CSR:</w:t>
      </w:r>
    </w:p>
    <w:p>
      <w:pPr>
        <w:ind w:left="500" w:hanging="240"/>
        <w:spacing w:after="0"/>
        <w:tabs>
          <w:tab w:leader="none" w:pos="500" w:val="left"/>
        </w:tabs>
        <w:numPr>
          <w:ilvl w:val="0"/>
          <w:numId w:val="40"/>
        </w:numPr>
        <w:rPr>
          <w:rFonts w:ascii="Times New Roman" w:cs="Times New Roman" w:eastAsia="Times New Roman" w:hAnsi="Times New Roman"/>
          <w:sz w:val="17"/>
          <w:szCs w:val="17"/>
          <w:color w:val="auto"/>
        </w:rPr>
      </w:pPr>
      <w:r>
        <w:rPr>
          <w:rFonts w:ascii="Verdana" w:cs="Verdana" w:eastAsia="Verdana" w:hAnsi="Verdana"/>
          <w:sz w:val="17"/>
          <w:szCs w:val="17"/>
          <w:color w:val="auto"/>
        </w:rPr>
        <w:t>provides disclosure to the effect that the Fund has adopted the Executive Code;</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40"/>
        </w:numPr>
        <w:rPr>
          <w:rFonts w:ascii="Times New Roman" w:cs="Times New Roman" w:eastAsia="Times New Roman" w:hAnsi="Times New Roman"/>
          <w:sz w:val="17"/>
          <w:szCs w:val="17"/>
          <w:color w:val="auto"/>
        </w:rPr>
      </w:pPr>
      <w:r>
        <w:rPr>
          <w:rFonts w:ascii="Verdana" w:cs="Verdana" w:eastAsia="Verdana" w:hAnsi="Verdana"/>
          <w:sz w:val="17"/>
          <w:szCs w:val="17"/>
          <w:color w:val="auto"/>
        </w:rPr>
        <w:t>includes the current Executive Code as an exhibit; and</w:t>
      </w:r>
    </w:p>
    <w:p>
      <w:pPr>
        <w:spacing w:after="0" w:line="4"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40"/>
        </w:numPr>
        <w:rPr>
          <w:rFonts w:ascii="Times New Roman" w:cs="Times New Roman" w:eastAsia="Times New Roman" w:hAnsi="Times New Roman"/>
          <w:sz w:val="15"/>
          <w:szCs w:val="15"/>
          <w:color w:val="auto"/>
        </w:rPr>
      </w:pPr>
      <w:r>
        <w:rPr>
          <w:rFonts w:ascii="Verdana" w:cs="Verdana" w:eastAsia="Verdana" w:hAnsi="Verdana"/>
          <w:sz w:val="16"/>
          <w:szCs w:val="16"/>
          <w:color w:val="auto"/>
        </w:rPr>
        <w:t>provides disclosure with respect to any waivers that have been granted under the Executive Code.</w:t>
      </w:r>
    </w:p>
    <w:sectPr>
      <w:pgSz w:w="11900" w:h="16838" w:orient="portrait"/>
      <w:cols w:equalWidth="0" w:num="1">
        <w:col w:w="10159"/>
      </w:cols>
      <w:pgMar w:left="300" w:top="1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3"/>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Roman"/>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6"/>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Letter"/>
      <w:start w:val="1"/>
    </w:lvl>
    <w:lvl w:ilvl="1">
      <w:lvlJc w:val="left"/>
      <w:lvlText w:val="%2."/>
      <w:numFmt w:val="lowerRoman"/>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6"/>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decimal"/>
      <w:start w:val="1"/>
    </w:lvl>
    <w:lvl w:ilvl="1">
      <w:lvlJc w:val="left"/>
      <w:lvlText w:val="(%2)"/>
      <w:numFmt w:val="lowerLetter"/>
      <w:start w:val="1"/>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9"/>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upperLetter"/>
      <w:start w:val="2"/>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lvl w:ilvl="1">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2023-11-30T05:15:16Z</dcterms:created>
  <dcterms:modified xsi:type="dcterms:W3CDTF">2023-11-30T05:15:16Z</dcterms:modified>
</cp:coreProperties>
</file>